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75" w:rsidRDefault="00FD4075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4075" w:rsidRDefault="00FD4075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075" w:rsidRDefault="00FD4075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075" w:rsidRDefault="00FD4075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350" w:rsidRDefault="00EA5350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Vincze András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</w:p>
    <w:p w:rsidR="00EA5350" w:rsidRDefault="00EA5350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FCE" w:rsidRDefault="006A77FC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KÖZOKIRATBA FOGLALT KÖVETELÉS VÉGREHAJTHATÓSÁGÁNAK ELÉVÜLÉSE ÉS A FEDEZETELVONÁS</w:t>
      </w:r>
      <w:r w:rsidRPr="006A77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77FC" w:rsidRPr="00550735" w:rsidRDefault="006A77FC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6A7" w:rsidRDefault="006A77FC" w:rsidP="006A77FC">
      <w:pPr>
        <w:pStyle w:val="Listaszerbekezds"/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 BH. 2014.151 jogeset és a </w:t>
      </w:r>
      <w:r w:rsidRPr="006A77FC">
        <w:rPr>
          <w:rFonts w:ascii="Times New Roman" w:hAnsi="Times New Roman" w:cs="Times New Roman"/>
          <w:b/>
          <w:sz w:val="24"/>
          <w:szCs w:val="24"/>
        </w:rPr>
        <w:t xml:space="preserve">Mocsár Attila Zsolt: Tartozás-elismerést tartalmazó közjegyzői okirat foglalt követelés elévülése </w:t>
      </w:r>
    </w:p>
    <w:p w:rsidR="00816142" w:rsidRDefault="00816142" w:rsidP="0081614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16142">
        <w:rPr>
          <w:rFonts w:ascii="Times New Roman" w:hAnsi="Times New Roman" w:cs="Times New Roman"/>
          <w:sz w:val="24"/>
          <w:szCs w:val="24"/>
        </w:rPr>
        <w:t>A tanulmán</w:t>
      </w:r>
      <w:r>
        <w:rPr>
          <w:rFonts w:ascii="Times New Roman" w:hAnsi="Times New Roman" w:cs="Times New Roman"/>
          <w:sz w:val="24"/>
          <w:szCs w:val="24"/>
        </w:rPr>
        <w:t>y kiindulópontját</w:t>
      </w:r>
      <w:r w:rsidRPr="00816142">
        <w:rPr>
          <w:rFonts w:ascii="Times New Roman" w:hAnsi="Times New Roman" w:cs="Times New Roman"/>
          <w:sz w:val="24"/>
          <w:szCs w:val="24"/>
        </w:rPr>
        <w:t xml:space="preserve"> egy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017">
        <w:rPr>
          <w:rFonts w:ascii="Times New Roman" w:hAnsi="Times New Roman" w:cs="Times New Roman"/>
          <w:sz w:val="24"/>
          <w:szCs w:val="24"/>
        </w:rPr>
        <w:t>ún. alapj</w:t>
      </w:r>
      <w:r w:rsidRPr="00816142">
        <w:rPr>
          <w:rFonts w:ascii="Times New Roman" w:hAnsi="Times New Roman" w:cs="Times New Roman"/>
          <w:sz w:val="24"/>
          <w:szCs w:val="24"/>
        </w:rPr>
        <w:t>ogeset, azt a jogesetet bemutató cikk képezi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6A59">
        <w:rPr>
          <w:rFonts w:ascii="Times New Roman" w:hAnsi="Times New Roman" w:cs="Times New Roman"/>
          <w:sz w:val="24"/>
          <w:szCs w:val="24"/>
        </w:rPr>
        <w:t>A téma jelentőségé</w:t>
      </w:r>
      <w:r w:rsidR="00E72017">
        <w:rPr>
          <w:rFonts w:ascii="Times New Roman" w:hAnsi="Times New Roman" w:cs="Times New Roman"/>
          <w:sz w:val="24"/>
          <w:szCs w:val="24"/>
        </w:rPr>
        <w:t>t az adja, hogy a</w:t>
      </w:r>
      <w:r w:rsidR="00D239AA">
        <w:rPr>
          <w:rFonts w:ascii="Times New Roman" w:hAnsi="Times New Roman" w:cs="Times New Roman"/>
          <w:sz w:val="24"/>
          <w:szCs w:val="24"/>
        </w:rPr>
        <w:t xml:space="preserve"> jogalkotó </w:t>
      </w:r>
      <w:r w:rsidR="007A6A59">
        <w:rPr>
          <w:rFonts w:ascii="Times New Roman" w:hAnsi="Times New Roman" w:cs="Times New Roman"/>
          <w:sz w:val="24"/>
          <w:szCs w:val="24"/>
        </w:rPr>
        <w:t xml:space="preserve">a </w:t>
      </w:r>
      <w:r w:rsidR="00D239AA">
        <w:rPr>
          <w:rFonts w:ascii="Times New Roman" w:hAnsi="Times New Roman" w:cs="Times New Roman"/>
          <w:sz w:val="24"/>
          <w:szCs w:val="24"/>
        </w:rPr>
        <w:t>jelzáloghitelek esetén a közjegyzői formát ír elő,</w:t>
      </w:r>
      <w:r w:rsidR="00D239AA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="007A6A59">
        <w:rPr>
          <w:rFonts w:ascii="Times New Roman" w:hAnsi="Times New Roman" w:cs="Times New Roman"/>
          <w:sz w:val="24"/>
          <w:szCs w:val="24"/>
        </w:rPr>
        <w:t xml:space="preserve"> -</w:t>
      </w:r>
      <w:r w:rsidR="00E72017">
        <w:rPr>
          <w:rFonts w:ascii="Times New Roman" w:hAnsi="Times New Roman" w:cs="Times New Roman"/>
          <w:sz w:val="24"/>
          <w:szCs w:val="24"/>
        </w:rPr>
        <w:t xml:space="preserve"> </w:t>
      </w:r>
      <w:r w:rsidR="00D239AA">
        <w:rPr>
          <w:rFonts w:ascii="Times New Roman" w:hAnsi="Times New Roman" w:cs="Times New Roman"/>
          <w:sz w:val="24"/>
          <w:szCs w:val="24"/>
        </w:rPr>
        <w:t>így</w:t>
      </w:r>
      <w:r w:rsidR="007A6A59">
        <w:rPr>
          <w:rFonts w:ascii="Times New Roman" w:hAnsi="Times New Roman" w:cs="Times New Roman"/>
          <w:sz w:val="24"/>
          <w:szCs w:val="24"/>
        </w:rPr>
        <w:t xml:space="preserve"> a</w:t>
      </w:r>
      <w:r w:rsidR="00D239AA">
        <w:rPr>
          <w:rFonts w:ascii="Times New Roman" w:hAnsi="Times New Roman" w:cs="Times New Roman"/>
          <w:sz w:val="24"/>
          <w:szCs w:val="24"/>
        </w:rPr>
        <w:t xml:space="preserve"> </w:t>
      </w:r>
      <w:r w:rsidR="00E72017">
        <w:rPr>
          <w:rFonts w:ascii="Times New Roman" w:hAnsi="Times New Roman" w:cs="Times New Roman"/>
          <w:sz w:val="24"/>
          <w:szCs w:val="24"/>
        </w:rPr>
        <w:t xml:space="preserve">bankok </w:t>
      </w:r>
      <w:r w:rsidR="00D239AA">
        <w:rPr>
          <w:rFonts w:ascii="Times New Roman" w:hAnsi="Times New Roman" w:cs="Times New Roman"/>
          <w:sz w:val="24"/>
          <w:szCs w:val="24"/>
        </w:rPr>
        <w:t xml:space="preserve">a velük </w:t>
      </w:r>
      <w:r w:rsidR="00E72017">
        <w:rPr>
          <w:rFonts w:ascii="Times New Roman" w:hAnsi="Times New Roman" w:cs="Times New Roman"/>
          <w:sz w:val="24"/>
          <w:szCs w:val="24"/>
        </w:rPr>
        <w:t>szerződő ügyfelek</w:t>
      </w:r>
      <w:r w:rsidR="007A6A59">
        <w:rPr>
          <w:rFonts w:ascii="Times New Roman" w:hAnsi="Times New Roman" w:cs="Times New Roman"/>
          <w:sz w:val="24"/>
          <w:szCs w:val="24"/>
        </w:rPr>
        <w:t xml:space="preserve"> számára is -</w:t>
      </w:r>
      <w:r w:rsidR="00D239AA">
        <w:rPr>
          <w:rFonts w:ascii="Times New Roman" w:hAnsi="Times New Roman" w:cs="Times New Roman"/>
          <w:sz w:val="24"/>
          <w:szCs w:val="24"/>
        </w:rPr>
        <w:t xml:space="preserve"> a teljes</w:t>
      </w:r>
      <w:r w:rsidR="00E72017">
        <w:rPr>
          <w:rFonts w:ascii="Times New Roman" w:hAnsi="Times New Roman" w:cs="Times New Roman"/>
          <w:sz w:val="24"/>
          <w:szCs w:val="24"/>
        </w:rPr>
        <w:t xml:space="preserve"> </w:t>
      </w:r>
      <w:r w:rsidR="00D239AA">
        <w:rPr>
          <w:rFonts w:ascii="Times New Roman" w:hAnsi="Times New Roman" w:cs="Times New Roman"/>
          <w:sz w:val="24"/>
          <w:szCs w:val="24"/>
        </w:rPr>
        <w:t>jelzálog</w:t>
      </w:r>
      <w:r w:rsidR="00E72017">
        <w:rPr>
          <w:rFonts w:ascii="Times New Roman" w:hAnsi="Times New Roman" w:cs="Times New Roman"/>
          <w:sz w:val="24"/>
          <w:szCs w:val="24"/>
        </w:rPr>
        <w:t>köl</w:t>
      </w:r>
      <w:r w:rsidR="00D239AA">
        <w:rPr>
          <w:rFonts w:ascii="Times New Roman" w:hAnsi="Times New Roman" w:cs="Times New Roman"/>
          <w:sz w:val="24"/>
          <w:szCs w:val="24"/>
        </w:rPr>
        <w:t>cs</w:t>
      </w:r>
      <w:r w:rsidR="00535D5E">
        <w:rPr>
          <w:rFonts w:ascii="Times New Roman" w:hAnsi="Times New Roman" w:cs="Times New Roman"/>
          <w:sz w:val="24"/>
          <w:szCs w:val="24"/>
        </w:rPr>
        <w:t>önszerződés mellett esetleges a</w:t>
      </w:r>
      <w:r w:rsidR="00E72017">
        <w:rPr>
          <w:rFonts w:ascii="Times New Roman" w:hAnsi="Times New Roman" w:cs="Times New Roman"/>
          <w:sz w:val="24"/>
          <w:szCs w:val="24"/>
        </w:rPr>
        <w:t xml:space="preserve"> tartozáselismerő nyilatkozatra</w:t>
      </w:r>
      <w:r w:rsidR="00D239AA">
        <w:rPr>
          <w:rFonts w:ascii="Times New Roman" w:hAnsi="Times New Roman" w:cs="Times New Roman"/>
          <w:sz w:val="24"/>
          <w:szCs w:val="24"/>
        </w:rPr>
        <w:t xml:space="preserve"> is</w:t>
      </w:r>
      <w:r w:rsidR="00E72017">
        <w:rPr>
          <w:rFonts w:ascii="Times New Roman" w:hAnsi="Times New Roman" w:cs="Times New Roman"/>
          <w:sz w:val="24"/>
          <w:szCs w:val="24"/>
        </w:rPr>
        <w:t>. A hitelek szám</w:t>
      </w:r>
      <w:r w:rsidR="00520839">
        <w:rPr>
          <w:rFonts w:ascii="Times New Roman" w:hAnsi="Times New Roman" w:cs="Times New Roman"/>
          <w:sz w:val="24"/>
          <w:szCs w:val="24"/>
        </w:rPr>
        <w:t>ából megállapítható, hogy</w:t>
      </w:r>
      <w:r w:rsidR="00E72017">
        <w:rPr>
          <w:rFonts w:ascii="Times New Roman" w:hAnsi="Times New Roman" w:cs="Times New Roman"/>
          <w:sz w:val="24"/>
          <w:szCs w:val="24"/>
        </w:rPr>
        <w:t xml:space="preserve"> </w:t>
      </w:r>
      <w:r w:rsidR="00520839">
        <w:rPr>
          <w:rFonts w:ascii="Times New Roman" w:hAnsi="Times New Roman" w:cs="Times New Roman"/>
          <w:sz w:val="24"/>
          <w:szCs w:val="24"/>
        </w:rPr>
        <w:t xml:space="preserve">közjegyzői okiratok száma is. </w:t>
      </w:r>
      <w:r w:rsidR="00520839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="00520839">
        <w:rPr>
          <w:rFonts w:ascii="Times New Roman" w:hAnsi="Times New Roman" w:cs="Times New Roman"/>
          <w:sz w:val="24"/>
          <w:szCs w:val="24"/>
        </w:rPr>
        <w:t xml:space="preserve"> A kölcsönszerződés életciklusából következően, amennyiben a megfizetésével megszűnik a jogviszony úgy, a közjegyzői okirat, mint biztosítéki forma nem kerül alkalmazásra. Amennyiben viszont a teljesítés elmarad, a hitelezők élnek a közvetlen végrehajtási lehetőséggel, és nem teljesítő hitelek esetén felmerül a követelések engedményezése is, mint a hitelező számára könyvviteli</w:t>
      </w:r>
      <w:r w:rsidR="00535D5E">
        <w:rPr>
          <w:rFonts w:ascii="Times New Roman" w:hAnsi="Times New Roman" w:cs="Times New Roman"/>
          <w:sz w:val="24"/>
          <w:szCs w:val="24"/>
        </w:rPr>
        <w:t xml:space="preserve"> megoldás. Engedményezés esetén</w:t>
      </w:r>
      <w:r w:rsidR="00520839">
        <w:rPr>
          <w:rFonts w:ascii="Times New Roman" w:hAnsi="Times New Roman" w:cs="Times New Roman"/>
          <w:sz w:val="24"/>
          <w:szCs w:val="24"/>
        </w:rPr>
        <w:t xml:space="preserve"> viszont a közjegyzői okiratok egy újabb gazdasági területen fejtik ki a hatásukat ezzel alátámasztva, a téma indokoltságát.  </w:t>
      </w:r>
    </w:p>
    <w:p w:rsidR="0028673D" w:rsidRDefault="0028673D" w:rsidP="001D336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BH.2014.151 jogesetben közjegyzői okiratban foglalt tartozás elismerő nyilatkozat kapcsán született döntés. Adós álláspontja, aki perben felperes volt a követelés elévült, mert a hitelező nem záradékoltatta</w:t>
      </w:r>
      <w:r w:rsidR="00535D5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közjegyzői</w:t>
      </w:r>
      <w:r w:rsidR="00535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okiratot az elévülési időn belül, és </w:t>
      </w:r>
      <w:r w:rsidR="00535D5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végrehajtási jog elévülést nem szakítja meg magánjogi el</w:t>
      </w:r>
      <w:r w:rsidR="00535D5E">
        <w:rPr>
          <w:rFonts w:ascii="Times New Roman" w:hAnsi="Times New Roman" w:cs="Times New Roman"/>
          <w:sz w:val="24"/>
          <w:szCs w:val="24"/>
        </w:rPr>
        <w:t>évülést megszakító nyilatkozat. Hitelezői álláspont szerint</w:t>
      </w:r>
      <w:r>
        <w:rPr>
          <w:rFonts w:ascii="Times New Roman" w:hAnsi="Times New Roman" w:cs="Times New Roman"/>
          <w:sz w:val="24"/>
          <w:szCs w:val="24"/>
        </w:rPr>
        <w:t xml:space="preserve"> azzal, hogy az adós új tartozás elismerő nyilatkozatot tett az elévülést megszakította, valamint álláspontja szerint „végrehajtási záradék” teszi </w:t>
      </w:r>
      <w:r w:rsidR="00535D5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követelést végrehajthatóvá. Hitelezői álláspont szerint a „végrehajtható határozat</w:t>
      </w:r>
      <w:r w:rsidR="00AD0F77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” és „végrehajtó okirat”</w:t>
      </w:r>
      <w:r w:rsidR="00AD0F77"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külön fogalmak és a közjegyzői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okirat, mint végrehajtó okiratra nem alkalmazhatóak a végrehajtható határozat szerinti elévülési szabályok, hanem az általános magánjogi elévülés. </w:t>
      </w:r>
      <w:r w:rsidR="00AD0F77">
        <w:rPr>
          <w:rFonts w:ascii="Times New Roman" w:hAnsi="Times New Roman" w:cs="Times New Roman"/>
          <w:sz w:val="24"/>
          <w:szCs w:val="24"/>
        </w:rPr>
        <w:t>A végle</w:t>
      </w:r>
      <w:r w:rsidR="00535D5E">
        <w:rPr>
          <w:rFonts w:ascii="Times New Roman" w:hAnsi="Times New Roman" w:cs="Times New Roman"/>
          <w:sz w:val="24"/>
          <w:szCs w:val="24"/>
        </w:rPr>
        <w:t>ges döntésben</w:t>
      </w:r>
      <w:r w:rsidR="00AD0F77">
        <w:rPr>
          <w:rFonts w:ascii="Times New Roman" w:hAnsi="Times New Roman" w:cs="Times New Roman"/>
          <w:sz w:val="24"/>
          <w:szCs w:val="24"/>
        </w:rPr>
        <w:t xml:space="preserve"> a Kúria </w:t>
      </w:r>
      <w:r w:rsidR="00B10241">
        <w:rPr>
          <w:rFonts w:ascii="Times New Roman" w:hAnsi="Times New Roman" w:cs="Times New Roman"/>
          <w:sz w:val="24"/>
          <w:szCs w:val="24"/>
        </w:rPr>
        <w:t>úgy foglalt állást, hogy állásp</w:t>
      </w:r>
      <w:r w:rsidR="00535D5E">
        <w:rPr>
          <w:rFonts w:ascii="Times New Roman" w:hAnsi="Times New Roman" w:cs="Times New Roman"/>
          <w:sz w:val="24"/>
          <w:szCs w:val="24"/>
        </w:rPr>
        <w:t>ontja szerint jelen ügyben</w:t>
      </w:r>
      <w:r w:rsidR="00B10241">
        <w:rPr>
          <w:rFonts w:ascii="Times New Roman" w:hAnsi="Times New Roman" w:cs="Times New Roman"/>
          <w:sz w:val="24"/>
          <w:szCs w:val="24"/>
        </w:rPr>
        <w:t xml:space="preserve"> a közjegyzői okiratra, lehet alkalmazni, a rPtk. 327.§ (3) bekezdése szerint elévülést. Ezzel a Kúria értelmezése során analógiát alkalmazott álláspontom szerint. </w:t>
      </w:r>
      <w:r w:rsidR="001D336F">
        <w:rPr>
          <w:rFonts w:ascii="Times New Roman" w:hAnsi="Times New Roman" w:cs="Times New Roman"/>
          <w:sz w:val="24"/>
          <w:szCs w:val="24"/>
        </w:rPr>
        <w:t xml:space="preserve"> Hasonló analógián alapuló megoldásra van példa a Kúria új Ptk</w:t>
      </w:r>
      <w:r w:rsidR="001D336F" w:rsidRPr="001D336F">
        <w:rPr>
          <w:rFonts w:ascii="Times New Roman" w:hAnsi="Times New Roman" w:cs="Times New Roman"/>
          <w:sz w:val="24"/>
          <w:szCs w:val="24"/>
        </w:rPr>
        <w:t xml:space="preserve"> Tanácsadó Testület</w:t>
      </w:r>
      <w:r w:rsidR="001D336F">
        <w:rPr>
          <w:rFonts w:ascii="Times New Roman" w:hAnsi="Times New Roman" w:cs="Times New Roman"/>
          <w:sz w:val="24"/>
          <w:szCs w:val="24"/>
        </w:rPr>
        <w:t xml:space="preserve">ének </w:t>
      </w:r>
      <w:r w:rsidR="001D336F" w:rsidRPr="001D336F">
        <w:rPr>
          <w:rFonts w:ascii="Times New Roman" w:hAnsi="Times New Roman" w:cs="Times New Roman"/>
          <w:sz w:val="24"/>
          <w:szCs w:val="24"/>
        </w:rPr>
        <w:t>I.</w:t>
      </w:r>
      <w:r w:rsidR="001D336F">
        <w:rPr>
          <w:rFonts w:ascii="Times New Roman" w:hAnsi="Times New Roman" w:cs="Times New Roman"/>
          <w:sz w:val="24"/>
          <w:szCs w:val="24"/>
        </w:rPr>
        <w:t>2. A Ptk. 6:25.§ (1) c pontjához írt állásfoglalásában:</w:t>
      </w:r>
      <w:r w:rsidR="001D336F" w:rsidRPr="001D336F">
        <w:rPr>
          <w:rFonts w:ascii="Times New Roman" w:hAnsi="Times New Roman" w:cs="Times New Roman"/>
          <w:sz w:val="24"/>
          <w:szCs w:val="24"/>
        </w:rPr>
        <w:t xml:space="preserve"> </w:t>
      </w:r>
      <w:r w:rsidR="001D336F">
        <w:rPr>
          <w:rFonts w:ascii="Times New Roman" w:hAnsi="Times New Roman" w:cs="Times New Roman"/>
          <w:sz w:val="24"/>
          <w:szCs w:val="24"/>
        </w:rPr>
        <w:t>„</w:t>
      </w:r>
      <w:r w:rsidR="001D336F" w:rsidRPr="001D336F">
        <w:rPr>
          <w:rFonts w:ascii="Times New Roman" w:hAnsi="Times New Roman" w:cs="Times New Roman"/>
          <w:sz w:val="24"/>
          <w:szCs w:val="24"/>
        </w:rPr>
        <w:t>egységes álláspontja szerint a Ptk. 6:25. §-a (1) bekezdése c) pontjában foglalt rendelkezés „bírósági eljárásban történő érvényesítése” fordulatának a kiterjesztő értelmezése indokolt a 8:1.§ (3) bekezdésében foglalt szabály mellett is. Így az elévülést megszakítja különösen a végrehajtás iránti kérelem benyújtása, akkor is, ha közjegyzői okirat alapján kezdeményezik, továbbá a végrehajtás foganatosítása, és a felszámolásban való igényérvényesítés is</w:t>
      </w:r>
      <w:r w:rsidR="001D336F">
        <w:rPr>
          <w:rFonts w:ascii="Times New Roman" w:hAnsi="Times New Roman" w:cs="Times New Roman"/>
          <w:sz w:val="24"/>
          <w:szCs w:val="24"/>
        </w:rPr>
        <w:t xml:space="preserve">” </w:t>
      </w:r>
      <w:r w:rsidR="001D336F">
        <w:rPr>
          <w:rStyle w:val="Lbjegyzet-hivatkozs"/>
          <w:rFonts w:ascii="Times New Roman" w:hAnsi="Times New Roman" w:cs="Times New Roman"/>
          <w:sz w:val="24"/>
          <w:szCs w:val="24"/>
        </w:rPr>
        <w:footnoteReference w:id="6"/>
      </w:r>
    </w:p>
    <w:p w:rsidR="001D336F" w:rsidRDefault="00300F45" w:rsidP="001D336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 e</w:t>
      </w:r>
      <w:r w:rsidR="00535D5E">
        <w:rPr>
          <w:rFonts w:ascii="Times New Roman" w:hAnsi="Times New Roman" w:cs="Times New Roman"/>
          <w:sz w:val="24"/>
          <w:szCs w:val="24"/>
        </w:rPr>
        <w:t>zen kívül azon megállapításokat</w:t>
      </w:r>
      <w:r>
        <w:rPr>
          <w:rFonts w:ascii="Times New Roman" w:hAnsi="Times New Roman" w:cs="Times New Roman"/>
          <w:sz w:val="24"/>
          <w:szCs w:val="24"/>
        </w:rPr>
        <w:t xml:space="preserve"> tette, hogy „</w:t>
      </w:r>
      <w:r w:rsidRPr="00300F45">
        <w:rPr>
          <w:rFonts w:ascii="Times New Roman" w:hAnsi="Times New Roman" w:cs="Times New Roman"/>
          <w:sz w:val="24"/>
          <w:szCs w:val="24"/>
        </w:rPr>
        <w:t>végrehajtható követelések az okiratban meghatározott határidő elteltével nem csak esedékessé, egyszersmind végrehajthatóvá is válnak.</w:t>
      </w:r>
      <w:r w:rsidR="002F6BC9">
        <w:rPr>
          <w:rFonts w:ascii="Times New Roman" w:hAnsi="Times New Roman" w:cs="Times New Roman"/>
          <w:sz w:val="24"/>
          <w:szCs w:val="24"/>
        </w:rPr>
        <w:t xml:space="preserve"> </w:t>
      </w:r>
      <w:r w:rsidRPr="00300F45">
        <w:rPr>
          <w:rFonts w:ascii="Times New Roman" w:hAnsi="Times New Roman" w:cs="Times New Roman"/>
          <w:sz w:val="24"/>
          <w:szCs w:val="24"/>
        </w:rPr>
        <w:t>Ha mód van végrehajtási kényszer közvetlen alkalmazására, akkor csak a végrehajtási cselekményt lehet olyan célravezető jogérvényesítési lépésnek tekinteni, amely az elévülés megszakítását eredményezheti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7"/>
      </w:r>
    </w:p>
    <w:p w:rsidR="00300F45" w:rsidRDefault="00300F45" w:rsidP="001D336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jogeset</w:t>
      </w:r>
      <w:r w:rsidR="00535D5E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túl </w:t>
      </w:r>
      <w:r w:rsidR="00BE120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következő fontos lépcső az értelmezéshez </w:t>
      </w:r>
      <w:r w:rsidR="00BE1202">
        <w:rPr>
          <w:rFonts w:ascii="Times New Roman" w:hAnsi="Times New Roman" w:cs="Times New Roman"/>
          <w:sz w:val="24"/>
          <w:szCs w:val="24"/>
        </w:rPr>
        <w:t>a fent hivatkozott cikk - melyet</w:t>
      </w:r>
      <w:r>
        <w:rPr>
          <w:rFonts w:ascii="Times New Roman" w:hAnsi="Times New Roman" w:cs="Times New Roman"/>
          <w:sz w:val="24"/>
          <w:szCs w:val="24"/>
        </w:rPr>
        <w:t xml:space="preserve"> a BH201</w:t>
      </w:r>
      <w:r w:rsidR="00BE1202">
        <w:rPr>
          <w:rFonts w:ascii="Times New Roman" w:hAnsi="Times New Roman" w:cs="Times New Roman"/>
          <w:sz w:val="24"/>
          <w:szCs w:val="24"/>
        </w:rPr>
        <w:t>4.151 jogeset során eljáró Mocsár Attila bíró úr szerez -</w:t>
      </w:r>
      <w:r>
        <w:rPr>
          <w:rFonts w:ascii="Times New Roman" w:hAnsi="Times New Roman" w:cs="Times New Roman"/>
          <w:sz w:val="24"/>
          <w:szCs w:val="24"/>
        </w:rPr>
        <w:t>, ahol hasonlóan összefoglalja a jogeset értelmezését</w:t>
      </w:r>
      <w:r w:rsidR="00DE1F7A">
        <w:rPr>
          <w:rFonts w:ascii="Times New Roman" w:hAnsi="Times New Roman" w:cs="Times New Roman"/>
          <w:sz w:val="24"/>
          <w:szCs w:val="24"/>
        </w:rPr>
        <w:t>, ezáltal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202">
        <w:rPr>
          <w:rFonts w:ascii="Times New Roman" w:hAnsi="Times New Roman" w:cs="Times New Roman"/>
          <w:sz w:val="24"/>
          <w:szCs w:val="24"/>
        </w:rPr>
        <w:t xml:space="preserve">joggyakorlat </w:t>
      </w:r>
      <w:r w:rsidR="002F6BC9">
        <w:rPr>
          <w:rFonts w:ascii="Times New Roman" w:hAnsi="Times New Roman" w:cs="Times New Roman"/>
          <w:sz w:val="24"/>
          <w:szCs w:val="24"/>
        </w:rPr>
        <w:t>közvetlen jogirodalomi megközelítés</w:t>
      </w:r>
      <w:r w:rsidR="00DE1F7A">
        <w:rPr>
          <w:rFonts w:ascii="Times New Roman" w:hAnsi="Times New Roman" w:cs="Times New Roman"/>
          <w:sz w:val="24"/>
          <w:szCs w:val="24"/>
        </w:rPr>
        <w:t>e</w:t>
      </w:r>
      <w:r w:rsidR="002F6BC9">
        <w:rPr>
          <w:rFonts w:ascii="Times New Roman" w:hAnsi="Times New Roman" w:cs="Times New Roman"/>
          <w:sz w:val="24"/>
          <w:szCs w:val="24"/>
        </w:rPr>
        <w:t xml:space="preserve"> is ismert. </w:t>
      </w:r>
    </w:p>
    <w:p w:rsidR="00300F45" w:rsidRDefault="00300F45" w:rsidP="00300F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„Ilyenkor </w:t>
      </w:r>
      <w:r w:rsidRPr="00300F45">
        <w:rPr>
          <w:rFonts w:ascii="Times New Roman" w:hAnsi="Times New Roman" w:cs="Times New Roman"/>
          <w:sz w:val="24"/>
          <w:szCs w:val="24"/>
        </w:rPr>
        <w:t>egyre többször merül fel kérdésk</w:t>
      </w:r>
      <w:r>
        <w:rPr>
          <w:rFonts w:ascii="Times New Roman" w:hAnsi="Times New Roman" w:cs="Times New Roman"/>
          <w:sz w:val="24"/>
          <w:szCs w:val="24"/>
        </w:rPr>
        <w:t xml:space="preserve">ént, hogy a közjegyzői okiratba </w:t>
      </w:r>
      <w:r w:rsidRPr="00300F45">
        <w:rPr>
          <w:rFonts w:ascii="Times New Roman" w:hAnsi="Times New Roman" w:cs="Times New Roman"/>
          <w:sz w:val="24"/>
          <w:szCs w:val="24"/>
        </w:rPr>
        <w:t>(közokiratba) foglalt tartozás-elismerés</w:t>
      </w:r>
      <w:r>
        <w:rPr>
          <w:rFonts w:ascii="Times New Roman" w:hAnsi="Times New Roman" w:cs="Times New Roman"/>
          <w:sz w:val="24"/>
          <w:szCs w:val="24"/>
        </w:rPr>
        <w:t xml:space="preserve"> esetén alkalmazásra kerülhet-e</w:t>
      </w:r>
      <w:r w:rsidR="00DE1F7A">
        <w:rPr>
          <w:rFonts w:ascii="Times New Roman" w:hAnsi="Times New Roman" w:cs="Times New Roman"/>
          <w:sz w:val="24"/>
          <w:szCs w:val="24"/>
        </w:rPr>
        <w:t xml:space="preserve"> </w:t>
      </w:r>
      <w:r w:rsidRPr="00300F45">
        <w:rPr>
          <w:rFonts w:ascii="Times New Roman" w:hAnsi="Times New Roman" w:cs="Times New Roman"/>
          <w:sz w:val="24"/>
          <w:szCs w:val="24"/>
        </w:rPr>
        <w:t>a Ptk. 327. § (3) bekezdése, azaz a közjegyz</w:t>
      </w:r>
      <w:r>
        <w:rPr>
          <w:rFonts w:ascii="Times New Roman" w:hAnsi="Times New Roman" w:cs="Times New Roman"/>
          <w:sz w:val="24"/>
          <w:szCs w:val="24"/>
        </w:rPr>
        <w:t xml:space="preserve">ői okiratba foglalt teljesítési </w:t>
      </w:r>
      <w:r w:rsidRPr="00300F45">
        <w:rPr>
          <w:rFonts w:ascii="Times New Roman" w:hAnsi="Times New Roman" w:cs="Times New Roman"/>
          <w:sz w:val="24"/>
          <w:szCs w:val="24"/>
        </w:rPr>
        <w:t>határidő leteltével kezdődő elévülést c</w:t>
      </w:r>
      <w:r>
        <w:rPr>
          <w:rFonts w:ascii="Times New Roman" w:hAnsi="Times New Roman" w:cs="Times New Roman"/>
          <w:sz w:val="24"/>
          <w:szCs w:val="24"/>
        </w:rPr>
        <w:t xml:space="preserve">sak a végrehajtási cselekmények </w:t>
      </w:r>
      <w:r w:rsidRPr="00300F45">
        <w:rPr>
          <w:rFonts w:ascii="Times New Roman" w:hAnsi="Times New Roman" w:cs="Times New Roman"/>
          <w:sz w:val="24"/>
          <w:szCs w:val="24"/>
        </w:rPr>
        <w:t>szakítják-e meg, vagy különb</w:t>
      </w:r>
      <w:r>
        <w:rPr>
          <w:rFonts w:ascii="Times New Roman" w:hAnsi="Times New Roman" w:cs="Times New Roman"/>
          <w:sz w:val="24"/>
          <w:szCs w:val="24"/>
        </w:rPr>
        <w:t xml:space="preserve">séget kell-e tenni egyrészről a </w:t>
      </w:r>
      <w:r w:rsidRPr="00300F45">
        <w:rPr>
          <w:rFonts w:ascii="Times New Roman" w:hAnsi="Times New Roman" w:cs="Times New Roman"/>
          <w:sz w:val="24"/>
          <w:szCs w:val="24"/>
        </w:rPr>
        <w:t>végrehajtandó okirat: a közjegyzői okir</w:t>
      </w:r>
      <w:r>
        <w:rPr>
          <w:rFonts w:ascii="Times New Roman" w:hAnsi="Times New Roman" w:cs="Times New Roman"/>
          <w:sz w:val="24"/>
          <w:szCs w:val="24"/>
        </w:rPr>
        <w:t xml:space="preserve">atba foglalt tartozáselismerés, </w:t>
      </w:r>
      <w:r w:rsidRPr="00300F45">
        <w:rPr>
          <w:rFonts w:ascii="Times New Roman" w:hAnsi="Times New Roman" w:cs="Times New Roman"/>
          <w:sz w:val="24"/>
          <w:szCs w:val="24"/>
        </w:rPr>
        <w:t>másrészről a végrehajtható határozat: a v</w:t>
      </w:r>
      <w:r>
        <w:rPr>
          <w:rFonts w:ascii="Times New Roman" w:hAnsi="Times New Roman" w:cs="Times New Roman"/>
          <w:sz w:val="24"/>
          <w:szCs w:val="24"/>
        </w:rPr>
        <w:t xml:space="preserve">égrehajtási záradékkal ellátott </w:t>
      </w:r>
      <w:r w:rsidRPr="00300F45">
        <w:rPr>
          <w:rFonts w:ascii="Times New Roman" w:hAnsi="Times New Roman" w:cs="Times New Roman"/>
          <w:sz w:val="24"/>
          <w:szCs w:val="24"/>
        </w:rPr>
        <w:t>közokirat között, és amely külö</w:t>
      </w:r>
      <w:r>
        <w:rPr>
          <w:rFonts w:ascii="Times New Roman" w:hAnsi="Times New Roman" w:cs="Times New Roman"/>
          <w:sz w:val="24"/>
          <w:szCs w:val="24"/>
        </w:rPr>
        <w:t xml:space="preserve">nbségtétel esetén a Ptk. 327. § (3) </w:t>
      </w:r>
      <w:r w:rsidRPr="00300F45">
        <w:rPr>
          <w:rFonts w:ascii="Times New Roman" w:hAnsi="Times New Roman" w:cs="Times New Roman"/>
          <w:sz w:val="24"/>
          <w:szCs w:val="24"/>
        </w:rPr>
        <w:t>bekezdése valóban csak a záradék kiá</w:t>
      </w:r>
      <w:r>
        <w:rPr>
          <w:rFonts w:ascii="Times New Roman" w:hAnsi="Times New Roman" w:cs="Times New Roman"/>
          <w:sz w:val="24"/>
          <w:szCs w:val="24"/>
        </w:rPr>
        <w:t xml:space="preserve">llítását követően irányadó-e az elévülésre. </w:t>
      </w:r>
      <w:r w:rsidRPr="00300F45">
        <w:rPr>
          <w:rFonts w:ascii="Times New Roman" w:hAnsi="Times New Roman" w:cs="Times New Roman"/>
          <w:sz w:val="24"/>
          <w:szCs w:val="24"/>
        </w:rPr>
        <w:t xml:space="preserve">A vázolt jogkérdésre - véleményem szerint </w:t>
      </w:r>
      <w:r>
        <w:rPr>
          <w:rFonts w:ascii="Times New Roman" w:hAnsi="Times New Roman" w:cs="Times New Roman"/>
          <w:sz w:val="24"/>
          <w:szCs w:val="24"/>
        </w:rPr>
        <w:t xml:space="preserve">- a helyes válasz: a </w:t>
      </w:r>
      <w:r w:rsidRPr="00300F45">
        <w:rPr>
          <w:rFonts w:ascii="Times New Roman" w:hAnsi="Times New Roman" w:cs="Times New Roman"/>
          <w:sz w:val="24"/>
          <w:szCs w:val="24"/>
        </w:rPr>
        <w:t>záradékolható okiratba foglalt tartozásel</w:t>
      </w:r>
      <w:r>
        <w:rPr>
          <w:rFonts w:ascii="Times New Roman" w:hAnsi="Times New Roman" w:cs="Times New Roman"/>
          <w:sz w:val="24"/>
          <w:szCs w:val="24"/>
        </w:rPr>
        <w:t xml:space="preserve">ismerő nyilatkozat az okiratban </w:t>
      </w:r>
      <w:r w:rsidRPr="00300F45">
        <w:rPr>
          <w:rFonts w:ascii="Times New Roman" w:hAnsi="Times New Roman" w:cs="Times New Roman"/>
          <w:sz w:val="24"/>
          <w:szCs w:val="24"/>
        </w:rPr>
        <w:t>meghatározott teljesítési határidő el</w:t>
      </w:r>
      <w:r>
        <w:rPr>
          <w:rFonts w:ascii="Times New Roman" w:hAnsi="Times New Roman" w:cs="Times New Roman"/>
          <w:sz w:val="24"/>
          <w:szCs w:val="24"/>
        </w:rPr>
        <w:t xml:space="preserve">teltével nem csupán esedékessé, </w:t>
      </w:r>
      <w:r w:rsidRPr="00300F45">
        <w:rPr>
          <w:rFonts w:ascii="Times New Roman" w:hAnsi="Times New Roman" w:cs="Times New Roman"/>
          <w:sz w:val="24"/>
          <w:szCs w:val="24"/>
        </w:rPr>
        <w:t xml:space="preserve">hanem végrehajthatóvá is válik, ezért ez esetben a követelésnek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00F45">
        <w:rPr>
          <w:rFonts w:ascii="Times New Roman" w:hAnsi="Times New Roman" w:cs="Times New Roman"/>
          <w:sz w:val="24"/>
          <w:szCs w:val="24"/>
        </w:rPr>
        <w:t xml:space="preserve">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F45">
        <w:rPr>
          <w:rFonts w:ascii="Times New Roman" w:hAnsi="Times New Roman" w:cs="Times New Roman"/>
          <w:sz w:val="24"/>
          <w:szCs w:val="24"/>
        </w:rPr>
        <w:t>végrehajtási záradékkal való ellátását,</w:t>
      </w:r>
      <w:r>
        <w:rPr>
          <w:rFonts w:ascii="Times New Roman" w:hAnsi="Times New Roman" w:cs="Times New Roman"/>
          <w:sz w:val="24"/>
          <w:szCs w:val="24"/>
        </w:rPr>
        <w:t xml:space="preserve"> a követelés és végrehajtásának joga azonban ekkor már elévült”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8"/>
      </w:r>
    </w:p>
    <w:p w:rsidR="002F6BC9" w:rsidRDefault="00CB538D" w:rsidP="00CB538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Kiemelendő, hogy más szerző is elfogadja, a BH2014.151 szerinti értelmezést „</w:t>
      </w:r>
      <w:r w:rsidRPr="00CB538D">
        <w:rPr>
          <w:rFonts w:ascii="Times New Roman" w:hAnsi="Times New Roman" w:cs="Times New Roman"/>
          <w:sz w:val="24"/>
          <w:szCs w:val="24"/>
        </w:rPr>
        <w:t xml:space="preserve">E véleményünket támasztja alá a régi Ptk. </w:t>
      </w:r>
      <w:r>
        <w:rPr>
          <w:rFonts w:ascii="Times New Roman" w:hAnsi="Times New Roman" w:cs="Times New Roman"/>
          <w:sz w:val="24"/>
          <w:szCs w:val="24"/>
        </w:rPr>
        <w:t>alapján hozott alábbi bírósági</w:t>
      </w:r>
      <w:r w:rsidR="00DE1F7A">
        <w:rPr>
          <w:rFonts w:ascii="Times New Roman" w:hAnsi="Times New Roman" w:cs="Times New Roman"/>
          <w:sz w:val="24"/>
          <w:szCs w:val="24"/>
        </w:rPr>
        <w:t xml:space="preserve"> </w:t>
      </w:r>
      <w:r w:rsidRPr="00CB538D">
        <w:rPr>
          <w:rFonts w:ascii="Times New Roman" w:hAnsi="Times New Roman" w:cs="Times New Roman"/>
          <w:sz w:val="24"/>
          <w:szCs w:val="24"/>
        </w:rPr>
        <w:t xml:space="preserve">határozat, amelynek </w:t>
      </w:r>
      <w:r w:rsidRPr="00CB538D">
        <w:rPr>
          <w:rFonts w:ascii="Times New Roman" w:hAnsi="Times New Roman" w:cs="Times New Roman"/>
          <w:sz w:val="24"/>
          <w:szCs w:val="24"/>
        </w:rPr>
        <w:lastRenderedPageBreak/>
        <w:t>rendelkező része egyértelm</w:t>
      </w:r>
      <w:r>
        <w:rPr>
          <w:rFonts w:ascii="Times New Roman" w:hAnsi="Times New Roman" w:cs="Times New Roman"/>
          <w:sz w:val="24"/>
          <w:szCs w:val="24"/>
        </w:rPr>
        <w:t xml:space="preserve">űen a végrehajtható határozatba </w:t>
      </w:r>
      <w:r w:rsidRPr="00CB538D">
        <w:rPr>
          <w:rFonts w:ascii="Times New Roman" w:hAnsi="Times New Roman" w:cs="Times New Roman"/>
          <w:sz w:val="24"/>
          <w:szCs w:val="24"/>
        </w:rPr>
        <w:t>foglalt követelés elévülése megszakadásáról</w:t>
      </w:r>
      <w:r>
        <w:rPr>
          <w:rFonts w:ascii="Times New Roman" w:hAnsi="Times New Roman" w:cs="Times New Roman"/>
          <w:sz w:val="24"/>
          <w:szCs w:val="24"/>
        </w:rPr>
        <w:t xml:space="preserve"> szóló szabályt alkalmazandónak rendeli.”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9"/>
      </w:r>
    </w:p>
    <w:p w:rsidR="005E4BF2" w:rsidRDefault="005E4BF2" w:rsidP="00CB538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5E4BF2" w:rsidRDefault="005E4BF2" w:rsidP="00CB538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5E4BF2" w:rsidRDefault="005E4BF2" w:rsidP="00CB538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76A6E" w:rsidRPr="005E4BF2" w:rsidRDefault="00C76A6E" w:rsidP="00300F4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BF2">
        <w:rPr>
          <w:rFonts w:ascii="Times New Roman" w:hAnsi="Times New Roman" w:cs="Times New Roman"/>
          <w:b/>
          <w:sz w:val="24"/>
          <w:szCs w:val="24"/>
        </w:rPr>
        <w:t xml:space="preserve">II. A BH. 2014.151. jogesetre épülő Bírói gyakorlat </w:t>
      </w:r>
    </w:p>
    <w:p w:rsidR="00C76A6E" w:rsidRDefault="00C76A6E" w:rsidP="00300F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 jogeset jól l</w:t>
      </w:r>
      <w:r w:rsidR="00DE1F7A">
        <w:rPr>
          <w:rFonts w:ascii="Times New Roman" w:hAnsi="Times New Roman" w:cs="Times New Roman"/>
          <w:sz w:val="24"/>
          <w:szCs w:val="24"/>
        </w:rPr>
        <w:t>áthatóan átment a gyakorlatba és</w:t>
      </w:r>
      <w:r>
        <w:rPr>
          <w:rFonts w:ascii="Times New Roman" w:hAnsi="Times New Roman" w:cs="Times New Roman"/>
          <w:sz w:val="24"/>
          <w:szCs w:val="24"/>
        </w:rPr>
        <w:t xml:space="preserve"> részévé vált a bírói gyakorl</w:t>
      </w:r>
      <w:r w:rsidR="00DE1F7A">
        <w:rPr>
          <w:rFonts w:ascii="Times New Roman" w:hAnsi="Times New Roman" w:cs="Times New Roman"/>
          <w:sz w:val="24"/>
          <w:szCs w:val="24"/>
        </w:rPr>
        <w:t>atnak, hasonlóan foglalt állást</w:t>
      </w:r>
      <w:r>
        <w:rPr>
          <w:rFonts w:ascii="Times New Roman" w:hAnsi="Times New Roman" w:cs="Times New Roman"/>
          <w:sz w:val="24"/>
          <w:szCs w:val="24"/>
        </w:rPr>
        <w:t xml:space="preserve"> a Kúria 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0"/>
      </w:r>
      <w:r w:rsidR="00DE1F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Fővárosi ítélőtábla</w:t>
      </w:r>
      <w:r w:rsidR="002F6BC9">
        <w:rPr>
          <w:rFonts w:ascii="Times New Roman" w:hAnsi="Times New Roman" w:cs="Times New Roman"/>
          <w:sz w:val="24"/>
          <w:szCs w:val="24"/>
        </w:rPr>
        <w:t xml:space="preserve"> </w:t>
      </w:r>
      <w:r w:rsidR="002F6BC9">
        <w:rPr>
          <w:rStyle w:val="Lbjegyzet-hivatkozs"/>
          <w:rFonts w:ascii="Times New Roman" w:hAnsi="Times New Roman" w:cs="Times New Roman"/>
          <w:sz w:val="24"/>
          <w:szCs w:val="24"/>
        </w:rPr>
        <w:footnoteReference w:id="11"/>
      </w:r>
      <w:r w:rsidR="00DE1F7A">
        <w:rPr>
          <w:rFonts w:ascii="Times New Roman" w:hAnsi="Times New Roman" w:cs="Times New Roman"/>
          <w:sz w:val="24"/>
          <w:szCs w:val="24"/>
        </w:rPr>
        <w:t>és</w:t>
      </w:r>
      <w:r>
        <w:rPr>
          <w:rFonts w:ascii="Times New Roman" w:hAnsi="Times New Roman" w:cs="Times New Roman"/>
          <w:sz w:val="24"/>
          <w:szCs w:val="24"/>
        </w:rPr>
        <w:t xml:space="preserve">  a Fővárosi Törvényszék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2"/>
      </w:r>
      <w:r w:rsidR="002F6BC9">
        <w:rPr>
          <w:rFonts w:ascii="Times New Roman" w:hAnsi="Times New Roman" w:cs="Times New Roman"/>
          <w:sz w:val="24"/>
          <w:szCs w:val="24"/>
        </w:rPr>
        <w:t xml:space="preserve">, de vannak jogesetek </w:t>
      </w:r>
      <w:r w:rsidR="00D61855">
        <w:rPr>
          <w:rFonts w:ascii="Times New Roman" w:hAnsi="Times New Roman" w:cs="Times New Roman"/>
          <w:sz w:val="24"/>
          <w:szCs w:val="24"/>
        </w:rPr>
        <w:t xml:space="preserve">az ország többi bíróságán is. </w:t>
      </w:r>
      <w:r w:rsidR="00D61855">
        <w:rPr>
          <w:rStyle w:val="Lbjegyzet-hivatkozs"/>
          <w:rFonts w:ascii="Times New Roman" w:hAnsi="Times New Roman" w:cs="Times New Roman"/>
          <w:sz w:val="24"/>
          <w:szCs w:val="24"/>
        </w:rPr>
        <w:footnoteReference w:id="13"/>
      </w:r>
    </w:p>
    <w:p w:rsidR="005117B0" w:rsidRDefault="005117B0" w:rsidP="00300F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kezdeti bírói gyakorlat jellemzően </w:t>
      </w:r>
      <w:r w:rsidR="00DE1F7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végrehajtás megszüntetése iránti perekkel kapcsolatosak volt</w:t>
      </w:r>
      <w:r w:rsidR="00DE1F7A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és a végrehajtási jog elévüléséről szóltak. </w:t>
      </w:r>
    </w:p>
    <w:p w:rsidR="005117B0" w:rsidRDefault="005117B0" w:rsidP="00300F4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következő lépcső a bírói gyakorlatban már, amikor nem csak végrehajtási jog fennálltáról döntöttek, hanem megjelent a jelzálog törlési perek 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4"/>
      </w:r>
      <w:r w:rsidR="00097185">
        <w:rPr>
          <w:rFonts w:ascii="Times New Roman" w:hAnsi="Times New Roman" w:cs="Times New Roman"/>
          <w:sz w:val="24"/>
          <w:szCs w:val="24"/>
        </w:rPr>
        <w:t>, mely egyik jogeset a jelz</w:t>
      </w:r>
      <w:r w:rsidR="00DE1F7A">
        <w:rPr>
          <w:rFonts w:ascii="Times New Roman" w:hAnsi="Times New Roman" w:cs="Times New Roman"/>
          <w:sz w:val="24"/>
          <w:szCs w:val="24"/>
        </w:rPr>
        <w:t>álogjog törléséhez való jogot e</w:t>
      </w:r>
      <w:r w:rsidR="00097185">
        <w:rPr>
          <w:rFonts w:ascii="Times New Roman" w:hAnsi="Times New Roman" w:cs="Times New Roman"/>
          <w:sz w:val="24"/>
          <w:szCs w:val="24"/>
        </w:rPr>
        <w:t>képpen foglalja össze: „</w:t>
      </w:r>
      <w:r w:rsidR="00097185" w:rsidRPr="00097185">
        <w:rPr>
          <w:rFonts w:ascii="Times New Roman" w:hAnsi="Times New Roman" w:cs="Times New Roman"/>
          <w:sz w:val="24"/>
          <w:szCs w:val="24"/>
        </w:rPr>
        <w:t xml:space="preserve">Arra tekintettel, hogy a zálogjoggal biztosított követelés elévült, a Polgári Törvénykönyvről szóló </w:t>
      </w:r>
      <w:r w:rsidR="00DE1F7A">
        <w:rPr>
          <w:rFonts w:ascii="Times New Roman" w:hAnsi="Times New Roman" w:cs="Times New Roman"/>
          <w:sz w:val="24"/>
          <w:szCs w:val="24"/>
        </w:rPr>
        <w:t>2013. évi V. törvény (a továbbia</w:t>
      </w:r>
      <w:r w:rsidR="00097185" w:rsidRPr="00097185">
        <w:rPr>
          <w:rFonts w:ascii="Times New Roman" w:hAnsi="Times New Roman" w:cs="Times New Roman"/>
          <w:sz w:val="24"/>
          <w:szCs w:val="24"/>
        </w:rPr>
        <w:t>kban: Ptk.) 5:142. § (1) bekezdés e) pontja szerint a zálogjog, valamint az elidegenítési és terhelési tilalom is megszűnt a Ptk. 5:31. §-a alapján. Ezért az Inytv. 62. § (1) bekezdés c) pontja alapján rendelkezett a perbeli jelzálogjog, valamint elidegenítési és terhelési tilalom törléséről, amelynek tűrésére az alperest kötelezte.</w:t>
      </w:r>
      <w:r w:rsidR="00097185">
        <w:rPr>
          <w:rFonts w:ascii="Times New Roman" w:hAnsi="Times New Roman" w:cs="Times New Roman"/>
          <w:sz w:val="24"/>
          <w:szCs w:val="24"/>
        </w:rPr>
        <w:t>”</w:t>
      </w:r>
      <w:r w:rsidR="00097185">
        <w:rPr>
          <w:rStyle w:val="Lbjegyzet-hivatkozs"/>
          <w:rFonts w:ascii="Times New Roman" w:hAnsi="Times New Roman" w:cs="Times New Roman"/>
          <w:sz w:val="24"/>
          <w:szCs w:val="24"/>
        </w:rPr>
        <w:footnoteReference w:id="15"/>
      </w:r>
    </w:p>
    <w:p w:rsidR="00097185" w:rsidRDefault="00097185" w:rsidP="000971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jelzálog</w:t>
      </w:r>
      <w:r w:rsidR="00CC4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törlését követően megjelentek már az önálló zálogjog törlésével kapc</w:t>
      </w:r>
      <w:r w:rsidR="00D076F6">
        <w:rPr>
          <w:rFonts w:ascii="Times New Roman" w:hAnsi="Times New Roman" w:cs="Times New Roman"/>
          <w:sz w:val="24"/>
          <w:szCs w:val="24"/>
        </w:rPr>
        <w:t xml:space="preserve">solatos perek is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97185">
        <w:rPr>
          <w:rFonts w:ascii="Times New Roman" w:hAnsi="Times New Roman" w:cs="Times New Roman"/>
          <w:sz w:val="24"/>
          <w:szCs w:val="24"/>
        </w:rPr>
        <w:t>Az önálló zálogszerződés felmondását rögzítő közjegyzői okirattal a</w:t>
      </w:r>
      <w:r>
        <w:rPr>
          <w:rFonts w:ascii="Times New Roman" w:hAnsi="Times New Roman" w:cs="Times New Roman"/>
          <w:sz w:val="24"/>
          <w:szCs w:val="24"/>
        </w:rPr>
        <w:t xml:space="preserve">z végrehajthatóvá vált, ezért a </w:t>
      </w:r>
      <w:r w:rsidRPr="00097185">
        <w:rPr>
          <w:rFonts w:ascii="Times New Roman" w:hAnsi="Times New Roman" w:cs="Times New Roman"/>
          <w:sz w:val="24"/>
          <w:szCs w:val="24"/>
        </w:rPr>
        <w:t>rPtk. 327. § (3) bekezdésére tekintettel az elévülést már csak végreh</w:t>
      </w:r>
      <w:r>
        <w:rPr>
          <w:rFonts w:ascii="Times New Roman" w:hAnsi="Times New Roman" w:cs="Times New Roman"/>
          <w:sz w:val="24"/>
          <w:szCs w:val="24"/>
        </w:rPr>
        <w:t xml:space="preserve">ajtási cselekmény szakítja meg, </w:t>
      </w:r>
      <w:r w:rsidRPr="00097185">
        <w:rPr>
          <w:rFonts w:ascii="Times New Roman" w:hAnsi="Times New Roman" w:cs="Times New Roman"/>
          <w:sz w:val="24"/>
          <w:szCs w:val="24"/>
        </w:rPr>
        <w:t>ezek sorában elsőként a végrehajtás elrendelésére irányuló kérele</w:t>
      </w:r>
      <w:r>
        <w:rPr>
          <w:rFonts w:ascii="Times New Roman" w:hAnsi="Times New Roman" w:cs="Times New Roman"/>
          <w:sz w:val="24"/>
          <w:szCs w:val="24"/>
        </w:rPr>
        <w:t xml:space="preserve">m szakítja meg. A felperesekkel </w:t>
      </w:r>
      <w:r w:rsidRPr="00097185">
        <w:rPr>
          <w:rFonts w:ascii="Times New Roman" w:hAnsi="Times New Roman" w:cs="Times New Roman"/>
          <w:sz w:val="24"/>
          <w:szCs w:val="24"/>
        </w:rPr>
        <w:t>szemben a végrehajtási eljárást 2019. január 11. napján kezd</w:t>
      </w:r>
      <w:r>
        <w:rPr>
          <w:rFonts w:ascii="Times New Roman" w:hAnsi="Times New Roman" w:cs="Times New Roman"/>
          <w:sz w:val="24"/>
          <w:szCs w:val="24"/>
        </w:rPr>
        <w:t xml:space="preserve">eményezte az alperes, amelyet a </w:t>
      </w:r>
      <w:r w:rsidRPr="00097185">
        <w:rPr>
          <w:rFonts w:ascii="Times New Roman" w:hAnsi="Times New Roman" w:cs="Times New Roman"/>
          <w:sz w:val="24"/>
          <w:szCs w:val="24"/>
        </w:rPr>
        <w:t>közjegyző 2019. szeptember 06. napján rendelt el, ekként az alper</w:t>
      </w:r>
      <w:r>
        <w:rPr>
          <w:rFonts w:ascii="Times New Roman" w:hAnsi="Times New Roman" w:cs="Times New Roman"/>
          <w:sz w:val="24"/>
          <w:szCs w:val="24"/>
        </w:rPr>
        <w:t xml:space="preserve">es követelése elévült, ezért az </w:t>
      </w:r>
      <w:r w:rsidRPr="00097185">
        <w:rPr>
          <w:rFonts w:ascii="Times New Roman" w:hAnsi="Times New Roman" w:cs="Times New Roman"/>
          <w:sz w:val="24"/>
          <w:szCs w:val="24"/>
        </w:rPr>
        <w:t>önálló zálogjog törlésének van helye</w:t>
      </w:r>
      <w:r>
        <w:rPr>
          <w:rFonts w:ascii="Times New Roman" w:hAnsi="Times New Roman" w:cs="Times New Roman"/>
          <w:sz w:val="24"/>
          <w:szCs w:val="24"/>
        </w:rPr>
        <w:t>.”</w:t>
      </w:r>
      <w:r w:rsidR="00D076F6">
        <w:rPr>
          <w:rStyle w:val="Lbjegyzet-hivatkozs"/>
          <w:rFonts w:ascii="Times New Roman" w:hAnsi="Times New Roman" w:cs="Times New Roman"/>
          <w:sz w:val="24"/>
          <w:szCs w:val="24"/>
        </w:rPr>
        <w:footnoteReference w:id="16"/>
      </w:r>
    </w:p>
    <w:p w:rsidR="00D076F6" w:rsidRPr="005E4BF2" w:rsidRDefault="00D076F6" w:rsidP="0009718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BF2">
        <w:rPr>
          <w:rFonts w:ascii="Times New Roman" w:hAnsi="Times New Roman" w:cs="Times New Roman"/>
          <w:b/>
          <w:sz w:val="24"/>
          <w:szCs w:val="24"/>
        </w:rPr>
        <w:t xml:space="preserve">III. BH.2014.151 ellenvélemények </w:t>
      </w:r>
    </w:p>
    <w:p w:rsidR="00D076F6" w:rsidRDefault="00CC4BD3" w:rsidP="000971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Kúrián illetve</w:t>
      </w:r>
      <w:r w:rsidR="00D076F6">
        <w:rPr>
          <w:rFonts w:ascii="Times New Roman" w:hAnsi="Times New Roman" w:cs="Times New Roman"/>
          <w:sz w:val="24"/>
          <w:szCs w:val="24"/>
        </w:rPr>
        <w:t xml:space="preserve"> az Ítélőtáblákon ellentétes gyakorlat nem figyelhető meg, a hivatkozott jogesetekben megállapítható, hogy néhány ügyben felmerült alsóbb fokú bíróságok ellentétes jogértelmezése, amely két pont körült összpontosult „végrehajtható okirat” és „végrehajtható határozat”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76F6">
        <w:rPr>
          <w:rFonts w:ascii="Times New Roman" w:hAnsi="Times New Roman" w:cs="Times New Roman"/>
          <w:sz w:val="24"/>
          <w:szCs w:val="24"/>
        </w:rPr>
        <w:t xml:space="preserve"> illetve „esedékesség” kérdése. De a Kúria és az Ítélőtáblák egységes gyakorlata alapján ezekből ellentétes jogesetek nem születtek. </w:t>
      </w:r>
    </w:p>
    <w:p w:rsidR="00D076F6" w:rsidRDefault="00D076F6" w:rsidP="000971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 ellenvélemény a hitelezők perbeli álláspontjaiból ismer</w:t>
      </w:r>
      <w:r w:rsidR="00D45EC5">
        <w:rPr>
          <w:rFonts w:ascii="Times New Roman" w:hAnsi="Times New Roman" w:cs="Times New Roman"/>
          <w:sz w:val="24"/>
          <w:szCs w:val="24"/>
        </w:rPr>
        <w:t>t leginkább, egyik első kérdés az elévülést megszakító cselekmények:</w:t>
      </w:r>
    </w:p>
    <w:p w:rsidR="00B10241" w:rsidRDefault="00D45EC5" w:rsidP="0081614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45EC5">
        <w:rPr>
          <w:rFonts w:ascii="Times New Roman" w:hAnsi="Times New Roman" w:cs="Times New Roman"/>
          <w:sz w:val="24"/>
          <w:szCs w:val="24"/>
        </w:rPr>
        <w:t>Utalt arra, hogy amennyiben az alapjogviszonyból eredő lejárt követelés elévülését csak végrehajtási cselekmények szakíthatnák meg, úgy a felek egyezségének vagy a tartozás elismerésének sem lenne jelentősége, hiszen a hitelezőnek nem állna érdekében az adóssal történő megállapodás, ha annak sikertelensége esetén csak az elévülési idő telne. Bár a megállapodás hatályát vesztette az adós nem teljesítése okán, azonban a fizetési megállapodás és a felszólítás meg kellett, hogy szakítsa az elévülést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 xml:space="preserve"> A hitelező álláspont szerint a fizetési felszólítás, de a fizetési megállapodás még inkább meg szakítja a végrehajtási jog elévülését. </w:t>
      </w:r>
    </w:p>
    <w:p w:rsidR="00D45EC5" w:rsidRDefault="00D45EC5" w:rsidP="0081614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másik hitelezők által felmerült védekezés illetve álláspont az esedékesség kérdése</w:t>
      </w:r>
      <w:r w:rsidR="007C23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álláspontjuk szerint a közjegyzői okiratba foglalt követelés, a záradékolással válik a végrehajthatóvá:</w:t>
      </w:r>
    </w:p>
    <w:p w:rsidR="00D45EC5" w:rsidRDefault="00D45EC5" w:rsidP="0081614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45EC5">
        <w:rPr>
          <w:rFonts w:ascii="Times New Roman" w:hAnsi="Times New Roman" w:cs="Times New Roman"/>
          <w:sz w:val="24"/>
          <w:szCs w:val="24"/>
        </w:rPr>
        <w:t>A kölcsön visszafizetésére vonatkozó teljesítési határidő eltelte azonban önmagában nem teszi végrehajthatóvá a követelést, ahhoz további aktus, a bírósági végrehajtásról szóló 1994. évi LIII. törvény (a továbbiakban: Vht.) 23/C. § szerinti végrehajtási záradék kibocsátása szükséges. Záradékolás nélkül az okirat végrehajtandó okiratnak minősül, nem pedig végrehajtható határozatnak. Utalt egyebekben arra, hogy nem biztos, a közjegyzői okiratba foglalt szerződés a Vht. 23/C. §-ban foglalt feltételek alapján záradékolható.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8"/>
      </w:r>
    </w:p>
    <w:p w:rsidR="00B10241" w:rsidRDefault="00D45EC5" w:rsidP="0081614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Végül az elévülés nyugvására </w:t>
      </w:r>
      <w:r w:rsidR="00BB59EC">
        <w:rPr>
          <w:rFonts w:ascii="Times New Roman" w:hAnsi="Times New Roman" w:cs="Times New Roman"/>
          <w:sz w:val="24"/>
          <w:szCs w:val="24"/>
        </w:rPr>
        <w:t>is hivatkoztak még külön is hivatkoztak például a</w:t>
      </w:r>
      <w:r w:rsidR="008C0731">
        <w:rPr>
          <w:rFonts w:ascii="Times New Roman" w:hAnsi="Times New Roman" w:cs="Times New Roman"/>
          <w:sz w:val="24"/>
          <w:szCs w:val="24"/>
        </w:rPr>
        <w:t xml:space="preserve"> DH2 törvény szerinti nyugvásra</w:t>
      </w:r>
      <w:r w:rsidR="00BB59EC">
        <w:rPr>
          <w:rFonts w:ascii="Times New Roman" w:hAnsi="Times New Roman" w:cs="Times New Roman"/>
          <w:sz w:val="24"/>
          <w:szCs w:val="24"/>
        </w:rPr>
        <w:t xml:space="preserve"> </w:t>
      </w:r>
      <w:r w:rsidR="00BB59EC">
        <w:rPr>
          <w:rStyle w:val="Lbjegyzet-hivatkozs"/>
          <w:rFonts w:ascii="Times New Roman" w:hAnsi="Times New Roman" w:cs="Times New Roman"/>
          <w:sz w:val="24"/>
          <w:szCs w:val="24"/>
        </w:rPr>
        <w:footnoteReference w:id="19"/>
      </w:r>
      <w:r w:rsidR="008C0731">
        <w:rPr>
          <w:rFonts w:ascii="Times New Roman" w:hAnsi="Times New Roman" w:cs="Times New Roman"/>
          <w:sz w:val="24"/>
          <w:szCs w:val="24"/>
        </w:rPr>
        <w:t xml:space="preserve"> illetve, jogutódlásra. </w:t>
      </w:r>
    </w:p>
    <w:p w:rsidR="00520839" w:rsidRPr="005E4BF2" w:rsidRDefault="0028673D" w:rsidP="0081614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485" w:rsidRPr="005E4BF2">
        <w:rPr>
          <w:rFonts w:ascii="Times New Roman" w:hAnsi="Times New Roman" w:cs="Times New Roman"/>
          <w:b/>
          <w:sz w:val="24"/>
          <w:szCs w:val="24"/>
        </w:rPr>
        <w:t xml:space="preserve">IV. Felmerülő kérdések </w:t>
      </w:r>
    </w:p>
    <w:p w:rsidR="001A6485" w:rsidRPr="005E4BF2" w:rsidRDefault="001A6485" w:rsidP="0081614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BF2">
        <w:rPr>
          <w:rFonts w:ascii="Times New Roman" w:hAnsi="Times New Roman" w:cs="Times New Roman"/>
          <w:b/>
          <w:sz w:val="24"/>
          <w:szCs w:val="24"/>
        </w:rPr>
        <w:t xml:space="preserve">1. Külön marasztalási per </w:t>
      </w:r>
    </w:p>
    <w:p w:rsidR="00AF3C9C" w:rsidRDefault="001A6485" w:rsidP="001A64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Felmerülhet kérdésként, ha </w:t>
      </w:r>
      <w:r w:rsidR="00BB6B6B">
        <w:rPr>
          <w:rFonts w:ascii="Times New Roman" w:hAnsi="Times New Roman" w:cs="Times New Roman"/>
          <w:sz w:val="24"/>
          <w:szCs w:val="24"/>
        </w:rPr>
        <w:t>hitelező a</w:t>
      </w:r>
      <w:r>
        <w:rPr>
          <w:rFonts w:ascii="Times New Roman" w:hAnsi="Times New Roman" w:cs="Times New Roman"/>
          <w:sz w:val="24"/>
          <w:szCs w:val="24"/>
        </w:rPr>
        <w:t xml:space="preserve"> végrehajtható </w:t>
      </w:r>
      <w:r w:rsidR="007C23AE">
        <w:rPr>
          <w:rFonts w:ascii="Times New Roman" w:hAnsi="Times New Roman" w:cs="Times New Roman"/>
          <w:sz w:val="24"/>
          <w:szCs w:val="24"/>
        </w:rPr>
        <w:t>okirat birtokában mégis külön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7C23AE">
        <w:rPr>
          <w:rFonts w:ascii="Times New Roman" w:hAnsi="Times New Roman" w:cs="Times New Roman"/>
          <w:sz w:val="24"/>
          <w:szCs w:val="24"/>
        </w:rPr>
        <w:t xml:space="preserve">díthat-e marasztalási pert? Ez a kérdés egy jogesetben </w:t>
      </w:r>
      <w:r>
        <w:rPr>
          <w:rFonts w:ascii="Times New Roman" w:hAnsi="Times New Roman" w:cs="Times New Roman"/>
          <w:sz w:val="24"/>
          <w:szCs w:val="24"/>
        </w:rPr>
        <w:t>merült</w:t>
      </w:r>
      <w:r w:rsidR="007C23AE">
        <w:rPr>
          <w:rFonts w:ascii="Times New Roman" w:hAnsi="Times New Roman" w:cs="Times New Roman"/>
          <w:sz w:val="24"/>
          <w:szCs w:val="24"/>
        </w:rPr>
        <w:t xml:space="preserve"> fel, ott a bíróság</w:t>
      </w:r>
      <w:r>
        <w:rPr>
          <w:rFonts w:ascii="Times New Roman" w:hAnsi="Times New Roman" w:cs="Times New Roman"/>
          <w:sz w:val="24"/>
          <w:szCs w:val="24"/>
        </w:rPr>
        <w:t xml:space="preserve"> úgy foglalt állást, hogy</w:t>
      </w:r>
      <w:r w:rsidR="007C23A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hitelező </w:t>
      </w:r>
      <w:r w:rsidR="00AF3C9C">
        <w:rPr>
          <w:rFonts w:ascii="Times New Roman" w:hAnsi="Times New Roman" w:cs="Times New Roman"/>
          <w:sz w:val="24"/>
          <w:szCs w:val="24"/>
        </w:rPr>
        <w:t>indíthat külön marasztalási pert. „</w:t>
      </w:r>
      <w:r w:rsidR="007C23AE">
        <w:rPr>
          <w:rFonts w:ascii="Times New Roman" w:hAnsi="Times New Roman" w:cs="Times New Roman"/>
          <w:sz w:val="24"/>
          <w:szCs w:val="24"/>
        </w:rPr>
        <w:t>Ugyanakkor az ismertetett eset</w:t>
      </w:r>
      <w:r w:rsidRPr="001A6485">
        <w:rPr>
          <w:rFonts w:ascii="Times New Roman" w:hAnsi="Times New Roman" w:cs="Times New Roman"/>
          <w:sz w:val="24"/>
          <w:szCs w:val="24"/>
        </w:rPr>
        <w:t xml:space="preserve">ben marasztalási per indítása nem kizárt, hiszen a követelés nem „ítélt dolog”. Így ha a jogosult valamely ok miatt </w:t>
      </w:r>
      <w:r w:rsidRPr="001A6485">
        <w:rPr>
          <w:rFonts w:ascii="Times New Roman" w:hAnsi="Times New Roman" w:cs="Times New Roman"/>
          <w:sz w:val="24"/>
          <w:szCs w:val="24"/>
        </w:rPr>
        <w:lastRenderedPageBreak/>
        <w:t>mégis marasztalási pert indít, a marasztalási per megindítása akként értelmezhető, hogy a közvetlen végrehajtás számára nyitva álló lehetőségét „félretett</w:t>
      </w:r>
      <w:r w:rsidR="00AF3C9C">
        <w:rPr>
          <w:rFonts w:ascii="Times New Roman" w:hAnsi="Times New Roman" w:cs="Times New Roman"/>
          <w:sz w:val="24"/>
          <w:szCs w:val="24"/>
        </w:rPr>
        <w:t>e”, tehát azzal nem kíván élni.”</w:t>
      </w:r>
      <w:r w:rsidR="00AF3C9C">
        <w:rPr>
          <w:rStyle w:val="Lbjegyzet-hivatkozs"/>
          <w:rFonts w:ascii="Times New Roman" w:hAnsi="Times New Roman" w:cs="Times New Roman"/>
          <w:sz w:val="24"/>
          <w:szCs w:val="24"/>
        </w:rPr>
        <w:footnoteReference w:id="20"/>
      </w:r>
    </w:p>
    <w:p w:rsidR="001A6485" w:rsidRDefault="00AF3C9C" w:rsidP="001A64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Ezzel kapcsolatban a Kúria kiemelte, hogy </w:t>
      </w:r>
      <w:r w:rsidR="00BB6B6B">
        <w:rPr>
          <w:rFonts w:ascii="Times New Roman" w:hAnsi="Times New Roman" w:cs="Times New Roman"/>
          <w:sz w:val="24"/>
          <w:szCs w:val="24"/>
        </w:rPr>
        <w:t>a marasztalási</w:t>
      </w:r>
      <w:r>
        <w:rPr>
          <w:rFonts w:ascii="Times New Roman" w:hAnsi="Times New Roman" w:cs="Times New Roman"/>
          <w:sz w:val="24"/>
          <w:szCs w:val="24"/>
        </w:rPr>
        <w:t xml:space="preserve"> perben a követelés elévülését nem a rPtk. 327 (3) bekezdése, hanem a rPtk. 327.§ (1) bekezdése alapján kell elbírálni. „</w:t>
      </w:r>
      <w:r w:rsidR="001A6485" w:rsidRPr="001A6485">
        <w:rPr>
          <w:rFonts w:ascii="Times New Roman" w:hAnsi="Times New Roman" w:cs="Times New Roman"/>
          <w:sz w:val="24"/>
          <w:szCs w:val="24"/>
        </w:rPr>
        <w:t>Az előbbiek szerinti marasztalási perben azt, hogy a követelés elévült-e nem a közvetlen végrehajtás szempontjából kell megítélni: a perben az elévülés megszakadására az 1959-es Ptk. 327. § (1) bekezdése irányadó. Amennyiben a marasztalási per a jogosultnak kedvező eredménnyel zárul, a jogosult a végrehajtás elrendelése feltételeinek fennállása esetén kérheti a kötelezettet marasztaló bírósági határozat végrehajtását. A marasztalási perben hozott bírósági határozat végrehajtásának nem akadálya az, hogy a jogosult nem kívánt élni a közvetlen végrehajtás lehetőségével.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1"/>
      </w:r>
      <w:r w:rsidR="00D55515">
        <w:rPr>
          <w:rFonts w:ascii="Times New Roman" w:hAnsi="Times New Roman" w:cs="Times New Roman"/>
          <w:sz w:val="24"/>
          <w:szCs w:val="24"/>
        </w:rPr>
        <w:t xml:space="preserve"> Kiemelendő, hogy marasztalási perben itt is két eltérő</w:t>
      </w:r>
      <w:r w:rsidR="007C23AE">
        <w:rPr>
          <w:rFonts w:ascii="Times New Roman" w:hAnsi="Times New Roman" w:cs="Times New Roman"/>
          <w:sz w:val="24"/>
          <w:szCs w:val="24"/>
        </w:rPr>
        <w:t xml:space="preserve"> megoldás születhet, rPtk alatt</w:t>
      </w:r>
      <w:r w:rsidR="00D55515">
        <w:rPr>
          <w:rFonts w:ascii="Times New Roman" w:hAnsi="Times New Roman" w:cs="Times New Roman"/>
          <w:sz w:val="24"/>
          <w:szCs w:val="24"/>
        </w:rPr>
        <w:t xml:space="preserve"> a fizetési felszólítás megszakítja a köv</w:t>
      </w:r>
      <w:r w:rsidR="007C23AE">
        <w:rPr>
          <w:rFonts w:ascii="Times New Roman" w:hAnsi="Times New Roman" w:cs="Times New Roman"/>
          <w:sz w:val="24"/>
          <w:szCs w:val="24"/>
        </w:rPr>
        <w:t>etelés</w:t>
      </w:r>
      <w:r w:rsidR="00D55515">
        <w:rPr>
          <w:rFonts w:ascii="Times New Roman" w:hAnsi="Times New Roman" w:cs="Times New Roman"/>
          <w:sz w:val="24"/>
          <w:szCs w:val="24"/>
        </w:rPr>
        <w:t xml:space="preserve"> elévülését, ezáltal a hitelező számára a marasztalási perben a követelés biztosítékai sem évülnek, mint a zálogjog, önálló zálogjog, míg a Ptk. ala</w:t>
      </w:r>
      <w:r w:rsidR="007C23AE">
        <w:rPr>
          <w:rFonts w:ascii="Times New Roman" w:hAnsi="Times New Roman" w:cs="Times New Roman"/>
          <w:sz w:val="24"/>
          <w:szCs w:val="24"/>
        </w:rPr>
        <w:t>t</w:t>
      </w:r>
      <w:r w:rsidR="00D55515">
        <w:rPr>
          <w:rFonts w:ascii="Times New Roman" w:hAnsi="Times New Roman" w:cs="Times New Roman"/>
          <w:sz w:val="24"/>
          <w:szCs w:val="24"/>
        </w:rPr>
        <w:t xml:space="preserve">ti perekben már nem, a fizetési felszólítás már nem szakítja meg az elévülést. </w:t>
      </w:r>
    </w:p>
    <w:p w:rsidR="00D55515" w:rsidRDefault="00D55515" w:rsidP="001A64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9490D" w:rsidRPr="005E4BF2" w:rsidRDefault="00C9490D" w:rsidP="001A648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BF2">
        <w:rPr>
          <w:rFonts w:ascii="Times New Roman" w:hAnsi="Times New Roman" w:cs="Times New Roman"/>
          <w:b/>
          <w:sz w:val="24"/>
          <w:szCs w:val="24"/>
        </w:rPr>
        <w:t xml:space="preserve">2. Megállapítási per </w:t>
      </w:r>
    </w:p>
    <w:p w:rsidR="00C9490D" w:rsidRDefault="00C9490D" w:rsidP="001A64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Amint a jogesetekből látható, legtöbb jogesetek végrehajtás megszünteté</w:t>
      </w:r>
      <w:r w:rsidR="007C23AE">
        <w:rPr>
          <w:rFonts w:ascii="Times New Roman" w:hAnsi="Times New Roman" w:cs="Times New Roman"/>
          <w:sz w:val="24"/>
          <w:szCs w:val="24"/>
        </w:rPr>
        <w:t>sével kapcsolatos perekben szül</w:t>
      </w:r>
      <w:r>
        <w:rPr>
          <w:rFonts w:ascii="Times New Roman" w:hAnsi="Times New Roman" w:cs="Times New Roman"/>
          <w:sz w:val="24"/>
          <w:szCs w:val="24"/>
        </w:rPr>
        <w:t>etett. Értelmezési kérdésként merült fel, hogy az adós indíthat-e, a záradékolás és végrehajtási eljárást megelőzően egy megállapítási keresetet, hogy a végrehajtási jog elévült. Ebben a kérdésben nem teljesen egységes a gyakorlat</w:t>
      </w:r>
      <w:r w:rsidR="00082B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vannak eseti döntések mellette: „</w:t>
      </w:r>
      <w:r w:rsidRPr="00C9490D">
        <w:rPr>
          <w:rFonts w:ascii="Times New Roman" w:hAnsi="Times New Roman" w:cs="Times New Roman"/>
          <w:sz w:val="24"/>
          <w:szCs w:val="24"/>
        </w:rPr>
        <w:t>Közjegyzői záradékolásra alkalmas okiratba foglalt követelés esetén a végrehajtási eljárás megindulását megelőzően az adós jogvédelme indokolja a megállapítási kereset indítását. A végrehajtás megindulását követően az adós jogvédelmére a végrehajtás megszüntetése, illetve ko</w:t>
      </w:r>
      <w:r>
        <w:rPr>
          <w:rFonts w:ascii="Times New Roman" w:hAnsi="Times New Roman" w:cs="Times New Roman"/>
          <w:sz w:val="24"/>
          <w:szCs w:val="24"/>
        </w:rPr>
        <w:t>rlátozása iránti per alkalmas.”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2"/>
      </w:r>
    </w:p>
    <w:p w:rsidR="00C9490D" w:rsidRPr="00816142" w:rsidRDefault="00C9490D" w:rsidP="001A64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9490D">
        <w:rPr>
          <w:rFonts w:ascii="Times New Roman" w:hAnsi="Times New Roman" w:cs="Times New Roman"/>
          <w:sz w:val="24"/>
          <w:szCs w:val="24"/>
        </w:rPr>
        <w:t>A végrehajtási jog elévülése hivatalbóli vizsgálatának hiányából és a végrehajtás szükségképpeni elrendeléséből következően a felperesek j</w:t>
      </w:r>
      <w:r w:rsidR="00082B33">
        <w:rPr>
          <w:rFonts w:ascii="Times New Roman" w:hAnsi="Times New Roman" w:cs="Times New Roman"/>
          <w:sz w:val="24"/>
          <w:szCs w:val="24"/>
        </w:rPr>
        <w:t>ogainak megóvását a Vht. 41. §-</w:t>
      </w:r>
      <w:r w:rsidRPr="00C9490D">
        <w:rPr>
          <w:rFonts w:ascii="Times New Roman" w:hAnsi="Times New Roman" w:cs="Times New Roman"/>
          <w:sz w:val="24"/>
          <w:szCs w:val="24"/>
        </w:rPr>
        <w:t xml:space="preserve">ban rögzítettek biztosítják. A felperesek ennek megfelelően okirattal valószínűsíthetik, hogy a végrehajtási jog elévült. Amennyiben a végrehajtást kérő a felperes adósok állítását elismeri, a szükséges intézkedések megtételét követően a végrehajtási eljárás befejeződik. Amennyiben azonban a végrehajtást kérő az adósok állítását nem ismerte el, a Vht. 41. § (5) bekezdése értelmében az adósok - jogaik megóvása végett - a Pp. 528. §-ában rögzítetteknek megfelelően végrehajtás megszüntetése iránti pert indíthatnak a végrehajtási jog </w:t>
      </w:r>
      <w:r>
        <w:rPr>
          <w:rFonts w:ascii="Times New Roman" w:hAnsi="Times New Roman" w:cs="Times New Roman"/>
          <w:sz w:val="24"/>
          <w:szCs w:val="24"/>
        </w:rPr>
        <w:t xml:space="preserve">elévülésére való hivatkozással. </w:t>
      </w:r>
      <w:r w:rsidRPr="00C9490D">
        <w:rPr>
          <w:rFonts w:ascii="Times New Roman" w:hAnsi="Times New Roman" w:cs="Times New Roman"/>
          <w:sz w:val="24"/>
          <w:szCs w:val="24"/>
        </w:rPr>
        <w:t xml:space="preserve">A fentiekből következik, hogy végrehajtható (jelen esetben közjegyzői záradékolásra alkalmas okiratba foglalt) követelés esetén a végrehajtási eljárás megindulását megelőzően nem állapítható meg az adósnak olyan jogvédelmi helyzete, amely megalapozná a </w:t>
      </w:r>
      <w:r w:rsidRPr="00C9490D">
        <w:rPr>
          <w:rFonts w:ascii="Times New Roman" w:hAnsi="Times New Roman" w:cs="Times New Roman"/>
          <w:sz w:val="24"/>
          <w:szCs w:val="24"/>
        </w:rPr>
        <w:lastRenderedPageBreak/>
        <w:t>végrehajtási jog elévülés okán történő fenn nem állásának megállapítására irányuló kereset előterjesztését.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3"/>
      </w:r>
    </w:p>
    <w:p w:rsidR="00816142" w:rsidRPr="00042BB9" w:rsidRDefault="00C9490D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BB9">
        <w:rPr>
          <w:rFonts w:ascii="Times New Roman" w:hAnsi="Times New Roman" w:cs="Times New Roman"/>
          <w:b/>
          <w:sz w:val="24"/>
          <w:szCs w:val="24"/>
        </w:rPr>
        <w:t>3</w:t>
      </w:r>
      <w:r w:rsidR="001313DA" w:rsidRPr="00042BB9">
        <w:rPr>
          <w:rFonts w:ascii="Times New Roman" w:hAnsi="Times New Roman" w:cs="Times New Roman"/>
          <w:b/>
          <w:sz w:val="24"/>
          <w:szCs w:val="24"/>
        </w:rPr>
        <w:t xml:space="preserve">. Felszámolási eljárás </w:t>
      </w:r>
    </w:p>
    <w:p w:rsidR="001313DA" w:rsidRDefault="001313DA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Kérdésként felmerülhet, hogy a felszámolási eljárás </w:t>
      </w:r>
      <w:r w:rsidR="00BB6B6B">
        <w:rPr>
          <w:rFonts w:ascii="Times New Roman" w:hAnsi="Times New Roman" w:cs="Times New Roman"/>
          <w:sz w:val="24"/>
          <w:szCs w:val="24"/>
        </w:rPr>
        <w:t xml:space="preserve">kezdeményezése </w:t>
      </w:r>
      <w:r>
        <w:rPr>
          <w:rFonts w:ascii="Times New Roman" w:hAnsi="Times New Roman" w:cs="Times New Roman"/>
          <w:sz w:val="24"/>
          <w:szCs w:val="24"/>
        </w:rPr>
        <w:t xml:space="preserve">a végrehajtási jog elévülését megszakítja-e. </w:t>
      </w:r>
      <w:r w:rsidR="00BB6B6B">
        <w:rPr>
          <w:rFonts w:ascii="Times New Roman" w:hAnsi="Times New Roman" w:cs="Times New Roman"/>
          <w:sz w:val="24"/>
          <w:szCs w:val="24"/>
        </w:rPr>
        <w:t>Eseti döntések alapján megállapítható, hogy igen</w:t>
      </w:r>
      <w:r w:rsidR="00082B33">
        <w:rPr>
          <w:rFonts w:ascii="Times New Roman" w:hAnsi="Times New Roman" w:cs="Times New Roman"/>
          <w:sz w:val="24"/>
          <w:szCs w:val="24"/>
        </w:rPr>
        <w:t>,</w:t>
      </w:r>
      <w:r w:rsidR="00BB6B6B">
        <w:rPr>
          <w:rFonts w:ascii="Times New Roman" w:hAnsi="Times New Roman" w:cs="Times New Roman"/>
          <w:sz w:val="24"/>
          <w:szCs w:val="24"/>
        </w:rPr>
        <w:t xml:space="preserve"> megszakítja. „</w:t>
      </w:r>
      <w:r w:rsidR="00BB6B6B" w:rsidRPr="00BB6B6B">
        <w:rPr>
          <w:rFonts w:ascii="Times New Roman" w:hAnsi="Times New Roman" w:cs="Times New Roman"/>
          <w:sz w:val="24"/>
          <w:szCs w:val="24"/>
        </w:rPr>
        <w:t>Megszakítja a végrehajtási jog elévülését, ha a végrehajtást kérő nem a követelés behajthatatlansága miatt szünetelő végrehajtás folytatását kéri, hanem az adós felszámolásának elrendelése iránt terjeszt elő kérelmet [1959. évi IV. tv. 327. § (3) bek., 1994. évi LIII. tv. 57. § (4) bek.].</w:t>
      </w:r>
      <w:r w:rsidR="00BB6B6B">
        <w:rPr>
          <w:rFonts w:ascii="Times New Roman" w:hAnsi="Times New Roman" w:cs="Times New Roman"/>
          <w:sz w:val="24"/>
          <w:szCs w:val="24"/>
        </w:rPr>
        <w:t xml:space="preserve">” </w:t>
      </w:r>
      <w:r w:rsidR="00BB6B6B">
        <w:rPr>
          <w:rStyle w:val="Lbjegyzet-hivatkozs"/>
          <w:rFonts w:ascii="Times New Roman" w:hAnsi="Times New Roman" w:cs="Times New Roman"/>
          <w:sz w:val="24"/>
          <w:szCs w:val="24"/>
        </w:rPr>
        <w:footnoteReference w:id="24"/>
      </w:r>
      <w:r w:rsidR="00BB6B6B">
        <w:rPr>
          <w:rFonts w:ascii="Times New Roman" w:hAnsi="Times New Roman" w:cs="Times New Roman"/>
          <w:sz w:val="24"/>
          <w:szCs w:val="24"/>
        </w:rPr>
        <w:t xml:space="preserve"> De a közjegyzői okiratba foglalt követeléshez kapcsolódó bírói gyakorlatban ezen kérdés csak mellékesen merült fel, mert a jogesetekben elévülési idő kérdéstől függetlenül eltelt, így ténylegesen nem kellett állást foglalnia benne a bíróságoknak. </w:t>
      </w:r>
    </w:p>
    <w:p w:rsidR="00C9490D" w:rsidRDefault="00C9490D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9490D" w:rsidRPr="00042BB9" w:rsidRDefault="00306FBE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BB9">
        <w:rPr>
          <w:rFonts w:ascii="Times New Roman" w:hAnsi="Times New Roman" w:cs="Times New Roman"/>
          <w:b/>
          <w:sz w:val="24"/>
          <w:szCs w:val="24"/>
        </w:rPr>
        <w:t xml:space="preserve">4. Felmondás kérdése </w:t>
      </w:r>
    </w:p>
    <w:p w:rsidR="00C5720A" w:rsidRDefault="00306FBE" w:rsidP="00782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kölcsönszerződésekkel kapcsolatban felmerülő kérdés még, hogy a Vht. 23/C (2) bekezdése alapján a felmondást is közokirat kell, hogy tanúsítsa. Amennyiben hitelező nem közokiratban, hanem magánokiratban mondja a </w:t>
      </w:r>
      <w:r w:rsidR="00082B33">
        <w:rPr>
          <w:rFonts w:ascii="Times New Roman" w:hAnsi="Times New Roman" w:cs="Times New Roman"/>
          <w:sz w:val="24"/>
          <w:szCs w:val="24"/>
        </w:rPr>
        <w:t>fel a kölcsönszerződést, kérdésként</w:t>
      </w:r>
      <w:r>
        <w:rPr>
          <w:rFonts w:ascii="Times New Roman" w:hAnsi="Times New Roman" w:cs="Times New Roman"/>
          <w:sz w:val="24"/>
          <w:szCs w:val="24"/>
        </w:rPr>
        <w:t xml:space="preserve"> merül fel annak hatályosulása.  Eseti döntés</w:t>
      </w:r>
      <w:r w:rsidR="00082B33">
        <w:rPr>
          <w:rFonts w:ascii="Times New Roman" w:hAnsi="Times New Roman" w:cs="Times New Roman"/>
          <w:sz w:val="24"/>
          <w:szCs w:val="24"/>
        </w:rPr>
        <w:t>ében</w:t>
      </w:r>
      <w:r>
        <w:rPr>
          <w:rFonts w:ascii="Times New Roman" w:hAnsi="Times New Roman" w:cs="Times New Roman"/>
          <w:sz w:val="24"/>
          <w:szCs w:val="24"/>
        </w:rPr>
        <w:t xml:space="preserve"> a Kúria megállapította, hogy</w:t>
      </w:r>
      <w:r w:rsidR="00386787">
        <w:rPr>
          <w:rFonts w:ascii="Times New Roman" w:hAnsi="Times New Roman" w:cs="Times New Roman"/>
          <w:sz w:val="24"/>
          <w:szCs w:val="24"/>
        </w:rPr>
        <w:t>: Amennyiben</w:t>
      </w:r>
      <w:r w:rsidRPr="00306FBE">
        <w:rPr>
          <w:rFonts w:ascii="Times New Roman" w:hAnsi="Times New Roman" w:cs="Times New Roman"/>
          <w:sz w:val="24"/>
          <w:szCs w:val="24"/>
        </w:rPr>
        <w:t xml:space="preserve"> a szerződés közokiratba foglalt felmondása nem tekinthető az előző, magánokirati formában történt felmondásnak a közvetlen végrehajtás elrendeléséhez szükséges feltétel teljesítése miatti megismétlésének, hanem új felmondásnak minősül, és a közjegyző utóbb annak átvételét tanúsítja, a közvetlen végrehajtás törvényi feltételei nem teljesülnek, mert a szerződést már a magánokiratban megtörtént felmondás megszüntette</w:t>
      </w:r>
      <w:r w:rsidR="00386787">
        <w:rPr>
          <w:rFonts w:ascii="Times New Roman" w:hAnsi="Times New Roman" w:cs="Times New Roman"/>
          <w:sz w:val="24"/>
          <w:szCs w:val="24"/>
        </w:rPr>
        <w:t xml:space="preserve">. </w:t>
      </w:r>
      <w:r w:rsidR="00386787">
        <w:rPr>
          <w:rStyle w:val="Lbjegyzet-hivatkozs"/>
          <w:rFonts w:ascii="Times New Roman" w:hAnsi="Times New Roman" w:cs="Times New Roman"/>
          <w:sz w:val="24"/>
          <w:szCs w:val="24"/>
        </w:rPr>
        <w:footnoteReference w:id="25"/>
      </w:r>
      <w:r w:rsidR="00386787">
        <w:rPr>
          <w:rFonts w:ascii="Times New Roman" w:hAnsi="Times New Roman" w:cs="Times New Roman"/>
          <w:sz w:val="24"/>
          <w:szCs w:val="24"/>
        </w:rPr>
        <w:t xml:space="preserve"> </w:t>
      </w:r>
      <w:r w:rsidR="00C5720A">
        <w:rPr>
          <w:rFonts w:ascii="Times New Roman" w:hAnsi="Times New Roman" w:cs="Times New Roman"/>
          <w:sz w:val="24"/>
          <w:szCs w:val="24"/>
        </w:rPr>
        <w:t xml:space="preserve"> A felmondást kérdését egy jogegységi határozat is érintette </w:t>
      </w:r>
      <w:r w:rsidR="00C5720A">
        <w:rPr>
          <w:rStyle w:val="Lbjegyzet-hivatkozs"/>
          <w:rFonts w:ascii="Times New Roman" w:hAnsi="Times New Roman" w:cs="Times New Roman"/>
          <w:sz w:val="24"/>
          <w:szCs w:val="24"/>
        </w:rPr>
        <w:footnoteReference w:id="26"/>
      </w:r>
      <w:r w:rsidR="007821E3">
        <w:rPr>
          <w:rFonts w:ascii="Times New Roman" w:hAnsi="Times New Roman" w:cs="Times New Roman"/>
          <w:sz w:val="24"/>
          <w:szCs w:val="24"/>
        </w:rPr>
        <w:t xml:space="preserve">, melyben három álláspont került bemutatásra és az által a különböző bíróságok gyakorlata is: </w:t>
      </w:r>
    </w:p>
    <w:p w:rsidR="007821E3" w:rsidRDefault="007821E3" w:rsidP="007821E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821E3">
        <w:rPr>
          <w:rFonts w:ascii="Times New Roman" w:hAnsi="Times New Roman" w:cs="Times New Roman"/>
          <w:sz w:val="24"/>
          <w:szCs w:val="24"/>
        </w:rPr>
        <w:t xml:space="preserve">elsőként ismertetett szerint a tanúsítás kizárólag a közjegyzőkről szóló 1991. évi XLI. törvény (a továbbiakban: Kjtv.) 142. §-ában meghatározott eljárás eredményeként történhet: a közjegyző a felmondás szövegét szó szerint jegyzőkönyvbe foglalja, a másik fél részére továbbítja és a felmondás közléséről ad tanúsítványt a kérelmet előterjesztő félnek, amelyben szó szerint feltünteti a felmondás szövegét is. </w:t>
      </w:r>
    </w:p>
    <w:p w:rsidR="007821E3" w:rsidRDefault="007821E3" w:rsidP="007821E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E3">
        <w:rPr>
          <w:rFonts w:ascii="Times New Roman" w:hAnsi="Times New Roman" w:cs="Times New Roman"/>
          <w:sz w:val="24"/>
          <w:szCs w:val="24"/>
        </w:rPr>
        <w:t xml:space="preserve">második álláspont, amelynek követői szerint ha a felmondás kézbesítése nem a közjegyző eljárásának keretében történt, a Kjtv. 136. § (2) bekezdése értelmében a közjegyző a kézbesítés tényéről nem állíthat ki tanúsítványt. </w:t>
      </w:r>
    </w:p>
    <w:p w:rsidR="007821E3" w:rsidRDefault="007821E3" w:rsidP="007821E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E3">
        <w:rPr>
          <w:rFonts w:ascii="Times New Roman" w:hAnsi="Times New Roman" w:cs="Times New Roman"/>
          <w:sz w:val="24"/>
          <w:szCs w:val="24"/>
        </w:rPr>
        <w:t>harmadik – valójában az előző kettőhöz képest második – álláspont lényege, hogy a közjegyző tanúsítványt állíthat ki akkor is, ha a jogosult a közjegyző előtt kijelenti és igazolja: a magánokirati formában felmondott, és a felmondás, a magánokirat kézbesítése – a felmutatott kézbesítési igazolással igazoltan – megtörtént (amely esetben a tanúsítvány azt igazolja, hogy a jogosult a tanúsítványban rögzített nyilatkozatait a közjegyző előtt megtette).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821E3" w:rsidRPr="007821E3" w:rsidRDefault="007821E3" w:rsidP="00782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gyakorlat ez által megszilárdult, magánokirati formában is lehetséges felmondás. De magánokirat felmondást is szükséges igazolni a tanúsítvány kiállításához. </w:t>
      </w:r>
      <w:r w:rsidR="00D55515">
        <w:rPr>
          <w:rFonts w:ascii="Times New Roman" w:hAnsi="Times New Roman" w:cs="Times New Roman"/>
          <w:sz w:val="24"/>
          <w:szCs w:val="24"/>
        </w:rPr>
        <w:t xml:space="preserve"> Amennyiben magánokirat felmondás okiratai hiányosak, úgy tanúsítvány, illetve a záradékolás akadályba ütközik, és a hitelező marasztalási pert, vagy fizetési meghagyást kell indítson. </w:t>
      </w:r>
    </w:p>
    <w:p w:rsidR="00C5720A" w:rsidRDefault="00C5720A" w:rsidP="00782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787" w:rsidRPr="00042BB9" w:rsidRDefault="00386787" w:rsidP="007821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BB9">
        <w:rPr>
          <w:rFonts w:ascii="Times New Roman" w:hAnsi="Times New Roman" w:cs="Times New Roman"/>
          <w:b/>
          <w:sz w:val="24"/>
          <w:szCs w:val="24"/>
        </w:rPr>
        <w:t xml:space="preserve">5. Késedelem okai </w:t>
      </w:r>
    </w:p>
    <w:p w:rsidR="00D13C9E" w:rsidRDefault="00D13C9E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Felmerült okként, ho</w:t>
      </w:r>
      <w:r w:rsidR="00D55515">
        <w:rPr>
          <w:rFonts w:ascii="Times New Roman" w:hAnsi="Times New Roman" w:cs="Times New Roman"/>
          <w:sz w:val="24"/>
          <w:szCs w:val="24"/>
        </w:rPr>
        <w:t>gy a hitelező, miért késleked</w:t>
      </w:r>
      <w:r w:rsidR="00FF2413">
        <w:rPr>
          <w:rFonts w:ascii="Times New Roman" w:hAnsi="Times New Roman" w:cs="Times New Roman"/>
          <w:sz w:val="24"/>
          <w:szCs w:val="24"/>
        </w:rPr>
        <w:t xml:space="preserve">ik, a jogesetekből kiolvasható </w:t>
      </w:r>
      <w:r w:rsidR="00D55515">
        <w:rPr>
          <w:rFonts w:ascii="Times New Roman" w:hAnsi="Times New Roman" w:cs="Times New Roman"/>
          <w:sz w:val="24"/>
          <w:szCs w:val="24"/>
        </w:rPr>
        <w:t>fő ok</w:t>
      </w:r>
      <w:r w:rsidR="00FF2413">
        <w:rPr>
          <w:rFonts w:ascii="Times New Roman" w:hAnsi="Times New Roman" w:cs="Times New Roman"/>
          <w:sz w:val="24"/>
          <w:szCs w:val="24"/>
        </w:rPr>
        <w:t xml:space="preserve">ok </w:t>
      </w:r>
      <w:r w:rsidR="00D55515">
        <w:rPr>
          <w:rFonts w:ascii="Times New Roman" w:hAnsi="Times New Roman" w:cs="Times New Roman"/>
          <w:sz w:val="24"/>
          <w:szCs w:val="24"/>
        </w:rPr>
        <w:t xml:space="preserve">, az első a hitelező általában </w:t>
      </w:r>
      <w:r w:rsidR="00FF2413">
        <w:rPr>
          <w:rFonts w:ascii="Times New Roman" w:hAnsi="Times New Roman" w:cs="Times New Roman"/>
          <w:sz w:val="24"/>
          <w:szCs w:val="24"/>
        </w:rPr>
        <w:t xml:space="preserve">felmerült ügyekben egyezségre törekedett az adóssal, aki vagy új tartozás elismerő nyilatkozatot tett, vagy új egyezséget kötöttek, vagy az adós részteljesítést eszközölt. A másik ok a hitelező vagy az adós esetén felmerülő jogutódlás kérdése, ahogy jogesetekből megállapítható, volt engedményezéssel kapcsolatos per, és volt adós elleni felszámolással kapcsolatos per is. De engedményezésen kívül elképzelhető </w:t>
      </w:r>
      <w:r w:rsidR="008C0731">
        <w:rPr>
          <w:rFonts w:ascii="Times New Roman" w:hAnsi="Times New Roman" w:cs="Times New Roman"/>
          <w:sz w:val="24"/>
          <w:szCs w:val="24"/>
        </w:rPr>
        <w:t>szerződésátruházás is, amellyel kapcsolatban a Kúria kiemelte, hogy jogutódlást eredményez és nem tekinthető novációnak.</w:t>
      </w:r>
      <w:r w:rsidR="008C0731">
        <w:rPr>
          <w:rStyle w:val="Lbjegyzet-hivatkozs"/>
          <w:rFonts w:ascii="Times New Roman" w:hAnsi="Times New Roman" w:cs="Times New Roman"/>
          <w:sz w:val="24"/>
          <w:szCs w:val="24"/>
        </w:rPr>
        <w:footnoteReference w:id="27"/>
      </w:r>
      <w:r w:rsidR="008C0731">
        <w:rPr>
          <w:rFonts w:ascii="Times New Roman" w:hAnsi="Times New Roman" w:cs="Times New Roman"/>
          <w:sz w:val="24"/>
          <w:szCs w:val="24"/>
        </w:rPr>
        <w:t xml:space="preserve"> Ha az adós, pedig természetes személy, akkor halála miatt nyílik meg jogutódlás kérdése. Jogutódlási esetekben, az új hitelező lassabban ker</w:t>
      </w:r>
      <w:r w:rsidR="00730527">
        <w:rPr>
          <w:rFonts w:ascii="Times New Roman" w:hAnsi="Times New Roman" w:cs="Times New Roman"/>
          <w:sz w:val="24"/>
          <w:szCs w:val="24"/>
        </w:rPr>
        <w:t>ül</w:t>
      </w:r>
      <w:r w:rsidR="008C0731">
        <w:rPr>
          <w:rFonts w:ascii="Times New Roman" w:hAnsi="Times New Roman" w:cs="Times New Roman"/>
          <w:sz w:val="24"/>
          <w:szCs w:val="24"/>
        </w:rPr>
        <w:t xml:space="preserve"> minden információ birtokába, így ha </w:t>
      </w:r>
      <w:r w:rsidR="00730527">
        <w:rPr>
          <w:rFonts w:ascii="Times New Roman" w:hAnsi="Times New Roman" w:cs="Times New Roman"/>
          <w:sz w:val="24"/>
          <w:szCs w:val="24"/>
        </w:rPr>
        <w:t xml:space="preserve">a </w:t>
      </w:r>
      <w:r w:rsidR="008C0731">
        <w:rPr>
          <w:rFonts w:ascii="Times New Roman" w:hAnsi="Times New Roman" w:cs="Times New Roman"/>
          <w:sz w:val="24"/>
          <w:szCs w:val="24"/>
        </w:rPr>
        <w:t xml:space="preserve">felek között egyeztetés is van, a végrehajtási jog elévülhet. </w:t>
      </w:r>
    </w:p>
    <w:p w:rsidR="008C0731" w:rsidRPr="00042BB9" w:rsidRDefault="008C0731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BB9">
        <w:rPr>
          <w:rFonts w:ascii="Times New Roman" w:hAnsi="Times New Roman" w:cs="Times New Roman"/>
          <w:b/>
          <w:sz w:val="24"/>
          <w:szCs w:val="24"/>
        </w:rPr>
        <w:t xml:space="preserve">V. Végrehajtási jog elévülése és fedezetelvonása </w:t>
      </w:r>
    </w:p>
    <w:p w:rsidR="008C0731" w:rsidRDefault="008C0731" w:rsidP="008C07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 alapjogesetből megállapítható, hogy </w:t>
      </w:r>
      <w:r w:rsidRPr="008C0731">
        <w:rPr>
          <w:rFonts w:ascii="Times New Roman" w:hAnsi="Times New Roman" w:cs="Times New Roman"/>
          <w:sz w:val="24"/>
          <w:szCs w:val="24"/>
        </w:rPr>
        <w:t>tartozás elismerése</w:t>
      </w:r>
      <w:r>
        <w:rPr>
          <w:rFonts w:ascii="Times New Roman" w:hAnsi="Times New Roman" w:cs="Times New Roman"/>
          <w:sz w:val="24"/>
          <w:szCs w:val="24"/>
        </w:rPr>
        <w:t xml:space="preserve"> újból magánokirati </w:t>
      </w:r>
      <w:r w:rsidR="008956D2">
        <w:rPr>
          <w:rFonts w:ascii="Times New Roman" w:hAnsi="Times New Roman" w:cs="Times New Roman"/>
          <w:sz w:val="24"/>
          <w:szCs w:val="24"/>
        </w:rPr>
        <w:t xml:space="preserve">elismerése </w:t>
      </w:r>
      <w:r w:rsidR="008956D2" w:rsidRPr="008C0731">
        <w:rPr>
          <w:rFonts w:ascii="Times New Roman" w:hAnsi="Times New Roman" w:cs="Times New Roman"/>
          <w:sz w:val="24"/>
          <w:szCs w:val="24"/>
        </w:rPr>
        <w:t>a</w:t>
      </w:r>
      <w:r w:rsidRPr="008C0731">
        <w:rPr>
          <w:rFonts w:ascii="Times New Roman" w:hAnsi="Times New Roman" w:cs="Times New Roman"/>
          <w:sz w:val="24"/>
          <w:szCs w:val="24"/>
        </w:rPr>
        <w:t xml:space="preserve"> végrehajtási jog elévül</w:t>
      </w:r>
      <w:r>
        <w:rPr>
          <w:rFonts w:ascii="Times New Roman" w:hAnsi="Times New Roman" w:cs="Times New Roman"/>
          <w:sz w:val="24"/>
          <w:szCs w:val="24"/>
        </w:rPr>
        <w:t xml:space="preserve">ését nem </w:t>
      </w:r>
      <w:r w:rsidR="008956D2">
        <w:rPr>
          <w:rFonts w:ascii="Times New Roman" w:hAnsi="Times New Roman" w:cs="Times New Roman"/>
          <w:sz w:val="24"/>
          <w:szCs w:val="24"/>
        </w:rPr>
        <w:t xml:space="preserve">érinti, </w:t>
      </w:r>
      <w:r w:rsidR="008956D2" w:rsidRPr="008C0731">
        <w:rPr>
          <w:rFonts w:ascii="Times New Roman" w:hAnsi="Times New Roman" w:cs="Times New Roman"/>
          <w:sz w:val="24"/>
          <w:szCs w:val="24"/>
        </w:rPr>
        <w:t>azt</w:t>
      </w:r>
      <w:r w:rsidRPr="008C0731">
        <w:rPr>
          <w:rFonts w:ascii="Times New Roman" w:hAnsi="Times New Roman" w:cs="Times New Roman"/>
          <w:sz w:val="24"/>
          <w:szCs w:val="24"/>
        </w:rPr>
        <w:t xml:space="preserve"> nem szakítja meg.</w:t>
      </w:r>
      <w:r>
        <w:rPr>
          <w:rFonts w:ascii="Times New Roman" w:hAnsi="Times New Roman" w:cs="Times New Roman"/>
          <w:sz w:val="24"/>
          <w:szCs w:val="24"/>
        </w:rPr>
        <w:t xml:space="preserve"> Ha az adós és a hitelező </w:t>
      </w:r>
      <w:r w:rsidRPr="008C0731">
        <w:rPr>
          <w:rFonts w:ascii="Times New Roman" w:hAnsi="Times New Roman" w:cs="Times New Roman"/>
          <w:sz w:val="24"/>
          <w:szCs w:val="24"/>
        </w:rPr>
        <w:t>egyeztetett a követelés lezárásáról, valamint akár egyezséget is köt és az adós</w:t>
      </w:r>
      <w:r>
        <w:rPr>
          <w:rFonts w:ascii="Times New Roman" w:hAnsi="Times New Roman" w:cs="Times New Roman"/>
          <w:sz w:val="24"/>
          <w:szCs w:val="24"/>
        </w:rPr>
        <w:t xml:space="preserve"> részletfizetés lehetőséget kap, akkor végrehajtási jog elévülési ideje eltelhet. </w:t>
      </w:r>
    </w:p>
    <w:p w:rsidR="00A70283" w:rsidRDefault="008C0731" w:rsidP="008C073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egyeztetéssel kapcsolatban felmerülhet, hogy </w:t>
      </w:r>
      <w:r w:rsidRPr="008C0731"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70283">
        <w:rPr>
          <w:rFonts w:ascii="Times New Roman" w:hAnsi="Times New Roman" w:cs="Times New Roman"/>
          <w:sz w:val="24"/>
          <w:szCs w:val="24"/>
        </w:rPr>
        <w:t>dós egyeztető magatartás</w:t>
      </w:r>
      <w:r w:rsidRPr="008C0731">
        <w:rPr>
          <w:rFonts w:ascii="Times New Roman" w:hAnsi="Times New Roman" w:cs="Times New Roman"/>
          <w:sz w:val="24"/>
          <w:szCs w:val="24"/>
        </w:rPr>
        <w:t>a t</w:t>
      </w:r>
      <w:r w:rsidR="00A70283">
        <w:rPr>
          <w:rFonts w:ascii="Times New Roman" w:hAnsi="Times New Roman" w:cs="Times New Roman"/>
          <w:sz w:val="24"/>
          <w:szCs w:val="24"/>
        </w:rPr>
        <w:t>artozás, tartozás elismerő nyilatkozata, fedezetelvonó szerződés-e.</w:t>
      </w:r>
      <w:r>
        <w:rPr>
          <w:rFonts w:ascii="Times New Roman" w:hAnsi="Times New Roman" w:cs="Times New Roman"/>
          <w:sz w:val="24"/>
          <w:szCs w:val="24"/>
        </w:rPr>
        <w:t xml:space="preserve"> Hiszen az magánokirati egyeztetés, vagy tartozás elismerés vagy akár teljesítés ellenére a végrehajtási jog elévülhet. </w:t>
      </w:r>
    </w:p>
    <w:p w:rsidR="00031806" w:rsidRPr="00E77BD0" w:rsidRDefault="00A70283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Á</w:t>
      </w:r>
      <w:r w:rsidR="008C0731" w:rsidRPr="008C0731">
        <w:rPr>
          <w:rFonts w:ascii="Times New Roman" w:hAnsi="Times New Roman" w:cs="Times New Roman"/>
          <w:sz w:val="24"/>
          <w:szCs w:val="24"/>
        </w:rPr>
        <w:t>lláspontom szerint mivel nem klas</w:t>
      </w:r>
      <w:r>
        <w:rPr>
          <w:rFonts w:ascii="Times New Roman" w:hAnsi="Times New Roman" w:cs="Times New Roman"/>
          <w:sz w:val="24"/>
          <w:szCs w:val="24"/>
        </w:rPr>
        <w:t>szikus fedezetelvonás történik, hiszen itt közvetlenül a hitelezővel (</w:t>
      </w:r>
      <w:r w:rsidR="005E4BF2">
        <w:rPr>
          <w:rFonts w:ascii="Times New Roman" w:hAnsi="Times New Roman" w:cs="Times New Roman"/>
          <w:sz w:val="24"/>
          <w:szCs w:val="24"/>
        </w:rPr>
        <w:t xml:space="preserve">törvényi megfogalmazás szerinti </w:t>
      </w:r>
      <w:r>
        <w:rPr>
          <w:rFonts w:ascii="Times New Roman" w:hAnsi="Times New Roman" w:cs="Times New Roman"/>
          <w:sz w:val="24"/>
          <w:szCs w:val="24"/>
        </w:rPr>
        <w:t>harmadik személy, akinek igénye van</w:t>
      </w:r>
      <w:r w:rsidR="005E4BF2">
        <w:rPr>
          <w:rStyle w:val="Lbjegyzet-hivatkozs"/>
          <w:rFonts w:ascii="Times New Roman" w:hAnsi="Times New Roman" w:cs="Times New Roman"/>
          <w:sz w:val="24"/>
          <w:szCs w:val="24"/>
        </w:rPr>
        <w:footnoteReference w:id="28"/>
      </w:r>
      <w:r>
        <w:rPr>
          <w:rFonts w:ascii="Times New Roman" w:hAnsi="Times New Roman" w:cs="Times New Roman"/>
          <w:sz w:val="24"/>
          <w:szCs w:val="24"/>
        </w:rPr>
        <w:t xml:space="preserve">) köt szerződést és részteljesítést eszközöl, és tartozáselismerő nyilatkozatot tesz. Ezen magánokirati tartozáselismerő </w:t>
      </w:r>
      <w:r w:rsidR="00E77BD0">
        <w:rPr>
          <w:rFonts w:ascii="Times New Roman" w:hAnsi="Times New Roman" w:cs="Times New Roman"/>
          <w:sz w:val="24"/>
          <w:szCs w:val="24"/>
        </w:rPr>
        <w:t>nyilatkozat a</w:t>
      </w:r>
      <w:r>
        <w:rPr>
          <w:rFonts w:ascii="Times New Roman" w:hAnsi="Times New Roman" w:cs="Times New Roman"/>
          <w:sz w:val="24"/>
          <w:szCs w:val="24"/>
        </w:rPr>
        <w:t xml:space="preserve"> végrehajtási jog elévülése ellenére </w:t>
      </w:r>
      <w:r w:rsidR="00E77BD0">
        <w:rPr>
          <w:rFonts w:ascii="Times New Roman" w:hAnsi="Times New Roman" w:cs="Times New Roman"/>
          <w:sz w:val="24"/>
          <w:szCs w:val="24"/>
        </w:rPr>
        <w:t xml:space="preserve">sem lesz fedezetelvonó szerződés. Mert fő kulcsszempont, még itt azon túl, hitelezővel köti új magánokirati megállapodást az, hogy a </w:t>
      </w:r>
      <w:r w:rsidR="005E4BF2">
        <w:rPr>
          <w:rFonts w:ascii="Times New Roman" w:hAnsi="Times New Roman" w:cs="Times New Roman"/>
          <w:sz w:val="24"/>
          <w:szCs w:val="24"/>
        </w:rPr>
        <w:t>hitelező közvetlenül</w:t>
      </w:r>
      <w:r w:rsidR="00E77BD0">
        <w:rPr>
          <w:rFonts w:ascii="Times New Roman" w:hAnsi="Times New Roman" w:cs="Times New Roman"/>
          <w:sz w:val="24"/>
          <w:szCs w:val="24"/>
        </w:rPr>
        <w:t xml:space="preserve"> </w:t>
      </w:r>
      <w:r w:rsidR="005E4BF2">
        <w:rPr>
          <w:rFonts w:ascii="Times New Roman" w:hAnsi="Times New Roman" w:cs="Times New Roman"/>
          <w:sz w:val="24"/>
          <w:szCs w:val="24"/>
        </w:rPr>
        <w:t>értesül,</w:t>
      </w:r>
      <w:r w:rsidR="00E77BD0">
        <w:rPr>
          <w:rFonts w:ascii="Times New Roman" w:hAnsi="Times New Roman" w:cs="Times New Roman"/>
          <w:sz w:val="24"/>
          <w:szCs w:val="24"/>
        </w:rPr>
        <w:t xml:space="preserve"> tudja annak tartalmát, a hitelező teheti meg </w:t>
      </w:r>
      <w:r w:rsidR="005E4BF2">
        <w:rPr>
          <w:rFonts w:ascii="Times New Roman" w:hAnsi="Times New Roman" w:cs="Times New Roman"/>
          <w:sz w:val="24"/>
          <w:szCs w:val="24"/>
        </w:rPr>
        <w:t>azokat,</w:t>
      </w:r>
      <w:r w:rsidR="00E77BD0">
        <w:rPr>
          <w:rFonts w:ascii="Times New Roman" w:hAnsi="Times New Roman" w:cs="Times New Roman"/>
          <w:sz w:val="24"/>
          <w:szCs w:val="24"/>
        </w:rPr>
        <w:t xml:space="preserve"> lépéséket, hogy a végrehajtási jog ne évüljön el, arra az adósi nyilatkozatnak nincs ráhatása. </w:t>
      </w:r>
      <w:r w:rsidR="005E4BF2">
        <w:rPr>
          <w:rFonts w:ascii="Times New Roman" w:hAnsi="Times New Roman" w:cs="Times New Roman"/>
          <w:sz w:val="24"/>
          <w:szCs w:val="24"/>
        </w:rPr>
        <w:t>A hitelezőnek ezen egyeztetési folyamatban azt kell mérlegelnie, hogy a megállapodás szerinti költséghatékonyság, gyorsabb megtérülés kevesebb költség, vagy a biztonság, azaz végrehajtható okirat záradékolása, vagy végrehajtás folytatása mellett dönt. A</w:t>
      </w:r>
      <w:r w:rsidR="00E77BD0">
        <w:rPr>
          <w:rFonts w:ascii="Times New Roman" w:hAnsi="Times New Roman" w:cs="Times New Roman"/>
          <w:sz w:val="24"/>
          <w:szCs w:val="24"/>
        </w:rPr>
        <w:t xml:space="preserve"> </w:t>
      </w:r>
      <w:r w:rsidR="005E4BF2">
        <w:rPr>
          <w:rFonts w:ascii="Times New Roman" w:hAnsi="Times New Roman" w:cs="Times New Roman"/>
          <w:sz w:val="24"/>
          <w:szCs w:val="24"/>
        </w:rPr>
        <w:t xml:space="preserve">döntés, ezen mérlegelése túlmutat az adós érdekkörén, így fedezet elvonás Ptk. szerinti meghatározásán.  </w:t>
      </w:r>
    </w:p>
    <w:p w:rsidR="00A50DF0" w:rsidRDefault="00A50DF0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A50DF0" w:rsidRDefault="00A50DF0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643BD8" w:rsidRDefault="00643BD8" w:rsidP="00D676F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675697" w:rsidRDefault="00675697" w:rsidP="00D676F0">
      <w:pPr>
        <w:pStyle w:val="Listaszerbekezds"/>
        <w:spacing w:before="100" w:beforeAutospacing="1" w:after="100" w:afterAutospacing="1"/>
        <w:ind w:left="0"/>
        <w:jc w:val="both"/>
        <w:rPr>
          <w:rFonts w:ascii="Times New Roman" w:hAnsi="Times New Roman" w:cs="Times New Roman"/>
        </w:rPr>
      </w:pPr>
    </w:p>
    <w:p w:rsidR="00675697" w:rsidRPr="00675697" w:rsidRDefault="00675697" w:rsidP="00D676F0">
      <w:pPr>
        <w:pStyle w:val="Listaszerbekezds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75697" w:rsidRPr="00675697" w:rsidSect="00F67E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17" w:rsidRDefault="003E3C17" w:rsidP="00810F3F">
      <w:pPr>
        <w:spacing w:after="0" w:line="240" w:lineRule="auto"/>
      </w:pPr>
      <w:r>
        <w:separator/>
      </w:r>
    </w:p>
  </w:endnote>
  <w:endnote w:type="continuationSeparator" w:id="0">
    <w:p w:rsidR="003E3C17" w:rsidRDefault="003E3C17" w:rsidP="0081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701195"/>
      <w:docPartObj>
        <w:docPartGallery w:val="Page Numbers (Bottom of Page)"/>
        <w:docPartUnique/>
      </w:docPartObj>
    </w:sdtPr>
    <w:sdtEndPr/>
    <w:sdtContent>
      <w:p w:rsidR="00D435CC" w:rsidRDefault="002B7FC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6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35CC" w:rsidRDefault="00D435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17" w:rsidRDefault="003E3C17" w:rsidP="00810F3F">
      <w:pPr>
        <w:spacing w:after="0" w:line="240" w:lineRule="auto"/>
      </w:pPr>
      <w:r>
        <w:separator/>
      </w:r>
    </w:p>
  </w:footnote>
  <w:footnote w:type="continuationSeparator" w:id="0">
    <w:p w:rsidR="003E3C17" w:rsidRDefault="003E3C17" w:rsidP="00810F3F">
      <w:pPr>
        <w:spacing w:after="0" w:line="240" w:lineRule="auto"/>
      </w:pPr>
      <w:r>
        <w:continuationSeparator/>
      </w:r>
    </w:p>
  </w:footnote>
  <w:footnote w:id="1">
    <w:p w:rsidR="00D435CC" w:rsidRPr="00F66B3D" w:rsidRDefault="00D435CC" w:rsidP="00F66B3D">
      <w:pPr>
        <w:pStyle w:val="Lbjegyzetszveg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F66B3D">
        <w:rPr>
          <w:rStyle w:val="Lbjegyzet-hivatkozs"/>
          <w:rFonts w:ascii="Times New Roman" w:hAnsi="Times New Roman" w:cs="Times New Roman"/>
          <w:b/>
          <w:sz w:val="24"/>
          <w:szCs w:val="24"/>
          <w:vertAlign w:val="subscript"/>
        </w:rPr>
        <w:footnoteRef/>
      </w:r>
      <w:r w:rsidRPr="00F66B3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KRE ÁJK Dokto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ri Iskola hallgatója Témavezetők </w:t>
      </w:r>
      <w:r w:rsidRPr="00F66B3D">
        <w:rPr>
          <w:rFonts w:ascii="Times New Roman" w:hAnsi="Times New Roman" w:cs="Times New Roman"/>
          <w:b/>
          <w:sz w:val="24"/>
          <w:szCs w:val="24"/>
          <w:vertAlign w:val="subscript"/>
        </w:rPr>
        <w:t>Dr. habil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.</w:t>
      </w:r>
      <w:r w:rsidRPr="00F66B3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Boóc Ádám Ph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.</w:t>
      </w:r>
      <w:r w:rsidRPr="00F66B3D">
        <w:rPr>
          <w:rFonts w:ascii="Times New Roman" w:hAnsi="Times New Roman" w:cs="Times New Roman"/>
          <w:b/>
          <w:sz w:val="24"/>
          <w:szCs w:val="24"/>
          <w:vertAlign w:val="subscript"/>
        </w:rPr>
        <w:t>D tanszékvezető egyetemi docens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F66B3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(</w:t>
      </w:r>
      <w:r w:rsidRPr="00F66B3D">
        <w:rPr>
          <w:rFonts w:ascii="Times New Roman" w:hAnsi="Times New Roman" w:cs="Times New Roman"/>
          <w:b/>
          <w:sz w:val="24"/>
          <w:szCs w:val="24"/>
          <w:vertAlign w:val="subscript"/>
        </w:rPr>
        <w:t>KRE ÁJK.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)</w:t>
      </w:r>
      <w:r w:rsidRPr="00F66B3D">
        <w:rPr>
          <w:rFonts w:ascii="Times New Roman" w:hAnsi="Times New Roman" w:cs="Times New Roman"/>
          <w:b/>
          <w:sz w:val="24"/>
          <w:szCs w:val="24"/>
          <w:vertAlign w:val="subscript"/>
        </w:rPr>
        <w:t>, Dr. Pozsonyi Norbert Ph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.</w:t>
      </w:r>
      <w:r w:rsidRPr="00F66B3D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D. egyetemi adjunktus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(</w:t>
      </w:r>
      <w:r w:rsidRPr="00F66B3D">
        <w:rPr>
          <w:rFonts w:ascii="Times New Roman" w:hAnsi="Times New Roman" w:cs="Times New Roman"/>
          <w:b/>
          <w:sz w:val="24"/>
          <w:szCs w:val="24"/>
          <w:vertAlign w:val="subscript"/>
        </w:rPr>
        <w:t>SZTE ÁJK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)</w:t>
      </w:r>
    </w:p>
  </w:footnote>
  <w:footnote w:id="2">
    <w:p w:rsidR="00D239AA" w:rsidRDefault="00D239AA">
      <w:pPr>
        <w:pStyle w:val="Lbjegyzetszveg"/>
      </w:pPr>
      <w:r>
        <w:rPr>
          <w:rStyle w:val="Lbjegyzet-hivatkozs"/>
        </w:rPr>
        <w:footnoteRef/>
      </w:r>
      <w:r>
        <w:t xml:space="preserve"> A jelzáloghitelintézetről és a jelzáloglevélről szóló 1997. évi XXX. törvény 6.§ </w:t>
      </w:r>
    </w:p>
  </w:footnote>
  <w:footnote w:id="3">
    <w:p w:rsidR="00520839" w:rsidRDefault="0052083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AD0F77" w:rsidRPr="00AD0F77">
        <w:t>https://www.ksh.hu/stadat_files/lak/hu/lak0038.html</w:t>
      </w:r>
    </w:p>
  </w:footnote>
  <w:footnote w:id="4">
    <w:p w:rsidR="00AD0F77" w:rsidRDefault="00AD0F77">
      <w:pPr>
        <w:pStyle w:val="Lbjegyzetszveg"/>
      </w:pPr>
      <w:r>
        <w:rPr>
          <w:rStyle w:val="Lbjegyzet-hivatkozs"/>
        </w:rPr>
        <w:footnoteRef/>
      </w:r>
      <w:r>
        <w:t xml:space="preserve">  a Polgári Törvénykönyvről szóló 1959. évi IV. törvény 327.§ (3) bekezdés  </w:t>
      </w:r>
    </w:p>
  </w:footnote>
  <w:footnote w:id="5">
    <w:p w:rsidR="00AD0F77" w:rsidRDefault="00AD0F77">
      <w:pPr>
        <w:pStyle w:val="Lbjegyzetszveg"/>
      </w:pPr>
      <w:r>
        <w:rPr>
          <w:rStyle w:val="Lbjegyzet-hivatkozs"/>
        </w:rPr>
        <w:footnoteRef/>
      </w:r>
      <w:r>
        <w:t xml:space="preserve"> a Bírósági végrehajtásról szóló 1992. évi LIII. törvény 10.§ </w:t>
      </w:r>
    </w:p>
  </w:footnote>
  <w:footnote w:id="6">
    <w:p w:rsidR="001D336F" w:rsidRDefault="001D336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D336F">
        <w:t>Kúria új Ptk Tanácsadó Testületének</w:t>
      </w:r>
      <w:r>
        <w:t xml:space="preserve"> </w:t>
      </w:r>
      <w:r w:rsidRPr="001D336F">
        <w:t>I.2. A Ptk. 6:25.§ (1) c pontjában foglalt rendelkezés értelmezése a végrehajtási eljárással összefüggésben</w:t>
      </w:r>
      <w:r>
        <w:t xml:space="preserve"> </w:t>
      </w:r>
    </w:p>
  </w:footnote>
  <w:footnote w:id="7">
    <w:p w:rsidR="00300F45" w:rsidRDefault="00300F45">
      <w:pPr>
        <w:pStyle w:val="Lbjegyzetszveg"/>
      </w:pPr>
      <w:r>
        <w:rPr>
          <w:rStyle w:val="Lbjegyzet-hivatkozs"/>
        </w:rPr>
        <w:footnoteRef/>
      </w:r>
      <w:r>
        <w:t xml:space="preserve"> BH. 2014.151 </w:t>
      </w:r>
    </w:p>
  </w:footnote>
  <w:footnote w:id="8">
    <w:p w:rsidR="00300F45" w:rsidRDefault="00300F45" w:rsidP="00300F45">
      <w:pPr>
        <w:pStyle w:val="Lbjegyzetszveg"/>
      </w:pPr>
      <w:r>
        <w:rPr>
          <w:rStyle w:val="Lbjegyzet-hivatkozs"/>
        </w:rPr>
        <w:footnoteRef/>
      </w:r>
      <w:r>
        <w:t xml:space="preserve"> Mocsár Attila Zsolt</w:t>
      </w:r>
      <w:r w:rsidR="002F6BC9">
        <w:t>: Tartozás-elismerést</w:t>
      </w:r>
      <w:r>
        <w:t xml:space="preserve"> tartalmazó közjegyzői okiratba foglalt követelés elévülése (KK,</w:t>
      </w:r>
    </w:p>
    <w:p w:rsidR="00300F45" w:rsidRDefault="00D61855" w:rsidP="00300F45">
      <w:pPr>
        <w:pStyle w:val="Lbjegyzetszveg"/>
      </w:pPr>
      <w:r>
        <w:t>2014/4., 10-11 o.)</w:t>
      </w:r>
    </w:p>
  </w:footnote>
  <w:footnote w:id="9">
    <w:p w:rsidR="00CB538D" w:rsidRDefault="00CB538D">
      <w:pPr>
        <w:pStyle w:val="Lbjegyzetszveg"/>
      </w:pPr>
      <w:r>
        <w:rPr>
          <w:rStyle w:val="Lbjegyzet-hivatkozs"/>
        </w:rPr>
        <w:footnoteRef/>
      </w:r>
      <w:r>
        <w:t xml:space="preserve"> Pusztahelyi Réka: A magánjogi elévülés Novotni Alapítvány Miskolc 2015 282 o. </w:t>
      </w:r>
    </w:p>
  </w:footnote>
  <w:footnote w:id="10">
    <w:p w:rsidR="00C76A6E" w:rsidRDefault="00C76A6E" w:rsidP="00C76A6E">
      <w:pPr>
        <w:pStyle w:val="Lbjegyzetszveg"/>
      </w:pPr>
      <w:r>
        <w:rPr>
          <w:rStyle w:val="Lbjegyzet-hivatkozs"/>
        </w:rPr>
        <w:footnoteRef/>
      </w:r>
      <w:r>
        <w:t xml:space="preserve"> Kúria Pfv.20.910/2020/8  Kúria Pfv. 21.122/2018/6 </w:t>
      </w:r>
      <w:r w:rsidRPr="00C76A6E">
        <w:t>Kúria Pfv. 21.678/2016/9</w:t>
      </w:r>
      <w:r>
        <w:t xml:space="preserve"> számú döntései </w:t>
      </w:r>
    </w:p>
  </w:footnote>
  <w:footnote w:id="11">
    <w:p w:rsidR="002F6BC9" w:rsidRDefault="002F6BC9">
      <w:pPr>
        <w:pStyle w:val="Lbjegyzetszveg"/>
      </w:pPr>
      <w:r>
        <w:rPr>
          <w:rStyle w:val="Lbjegyzet-hivatkozs"/>
        </w:rPr>
        <w:footnoteRef/>
      </w:r>
      <w:r>
        <w:t xml:space="preserve">  Főrvárosi Ítélőtábla </w:t>
      </w:r>
      <w:r w:rsidRPr="002F6BC9">
        <w:t>Gf.40087/2021/8</w:t>
      </w:r>
    </w:p>
  </w:footnote>
  <w:footnote w:id="12">
    <w:p w:rsidR="00C76A6E" w:rsidRDefault="00C76A6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2F6BC9">
        <w:t xml:space="preserve">Fővárosi Törvényszék Pf.20749/2020/5  </w:t>
      </w:r>
    </w:p>
  </w:footnote>
  <w:footnote w:id="13">
    <w:p w:rsidR="00D61855" w:rsidRDefault="00D61855">
      <w:pPr>
        <w:pStyle w:val="Lbjegyzetszveg"/>
      </w:pPr>
      <w:r>
        <w:rPr>
          <w:rStyle w:val="Lbjegyzet-hivatkozs"/>
        </w:rPr>
        <w:footnoteRef/>
      </w:r>
      <w:r>
        <w:t xml:space="preserve"> Szigetszentmiklósi Járásbíróság </w:t>
      </w:r>
      <w:r w:rsidRPr="00D61855">
        <w:t>15.P.21.392/2019/23</w:t>
      </w:r>
      <w:r w:rsidR="005117B0">
        <w:t xml:space="preserve">, Kaposvári Törvényszék </w:t>
      </w:r>
      <w:r w:rsidR="005117B0" w:rsidRPr="005117B0">
        <w:t>25.P.20.274/2021/8/I.</w:t>
      </w:r>
    </w:p>
  </w:footnote>
  <w:footnote w:id="14">
    <w:p w:rsidR="005117B0" w:rsidRDefault="005117B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097185">
        <w:t xml:space="preserve">Kúria Gfv.30.145/2020/2, </w:t>
      </w:r>
    </w:p>
  </w:footnote>
  <w:footnote w:id="15">
    <w:p w:rsidR="00097185" w:rsidRDefault="0009718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97185">
        <w:t>Fővárosi Ítélőtábla</w:t>
      </w:r>
      <w:r>
        <w:t xml:space="preserve"> </w:t>
      </w:r>
      <w:r w:rsidRPr="00097185">
        <w:t>14.Gf.40.087/2021/8.</w:t>
      </w:r>
    </w:p>
  </w:footnote>
  <w:footnote w:id="16">
    <w:p w:rsidR="00D076F6" w:rsidRDefault="00D076F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076F6">
        <w:t>Főváro</w:t>
      </w:r>
      <w:r>
        <w:t>si Törvényszék 35.P.21.433/2021</w:t>
      </w:r>
      <w:r w:rsidRPr="00D076F6">
        <w:t>.</w:t>
      </w:r>
    </w:p>
  </w:footnote>
  <w:footnote w:id="17">
    <w:p w:rsidR="00D45EC5" w:rsidRDefault="00D45EC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45EC5">
        <w:t>Fővárosi Ítélőtábla 14.Gf.40.087/2021/8.</w:t>
      </w:r>
    </w:p>
  </w:footnote>
  <w:footnote w:id="18">
    <w:p w:rsidR="00D45EC5" w:rsidRDefault="00D45EC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45EC5">
        <w:t>Fővárosi Ítélőtábla 14.Gf.40.087/2021/8.</w:t>
      </w:r>
    </w:p>
  </w:footnote>
  <w:footnote w:id="19">
    <w:p w:rsidR="00BB59EC" w:rsidRDefault="00BB59EC">
      <w:pPr>
        <w:pStyle w:val="Lbjegyzetszveg"/>
      </w:pPr>
      <w:r>
        <w:rPr>
          <w:rStyle w:val="Lbjegyzet-hivatkozs"/>
        </w:rPr>
        <w:footnoteRef/>
      </w:r>
      <w:r>
        <w:t xml:space="preserve"> a Kúriának a pénzügyi intézmények fogyasztói kölcsönszerződéseire vonatkozó jogegységi határozatával kapcsolatos egyes kérdések rendezéséről szóló 2014. évi XXXVIII. törvényben rögzített elszámolás szabályairól és egyéb rendelkezéseiről szóló 2014. évi XL. törvény 9.§ illetve 16.§ </w:t>
      </w:r>
    </w:p>
  </w:footnote>
  <w:footnote w:id="20">
    <w:p w:rsidR="00AF3C9C" w:rsidRDefault="00AF3C9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F3C9C">
        <w:t>Kúria Pfv. 20.910/2020/8.</w:t>
      </w:r>
    </w:p>
  </w:footnote>
  <w:footnote w:id="21">
    <w:p w:rsidR="00AF3C9C" w:rsidRDefault="00AF3C9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F3C9C">
        <w:t>Kúria Pfv. 20.910/2020/8.</w:t>
      </w:r>
    </w:p>
  </w:footnote>
  <w:footnote w:id="22">
    <w:p w:rsidR="00C9490D" w:rsidRDefault="00C9490D">
      <w:pPr>
        <w:pStyle w:val="Lbjegyzetszveg"/>
      </w:pPr>
      <w:r>
        <w:rPr>
          <w:rStyle w:val="Lbjegyzet-hivatkozs"/>
        </w:rPr>
        <w:footnoteRef/>
      </w:r>
      <w:r>
        <w:t xml:space="preserve"> BH2015.71 </w:t>
      </w:r>
    </w:p>
  </w:footnote>
  <w:footnote w:id="23">
    <w:p w:rsidR="00C9490D" w:rsidRDefault="00C9490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9490D">
        <w:t>Fővárosi Ítélőtábla Pf. 20.749/2020/5.</w:t>
      </w:r>
      <w:r>
        <w:t xml:space="preserve"> </w:t>
      </w:r>
    </w:p>
  </w:footnote>
  <w:footnote w:id="24">
    <w:p w:rsidR="00BB6B6B" w:rsidRDefault="00BB6B6B">
      <w:pPr>
        <w:pStyle w:val="Lbjegyzetszveg"/>
      </w:pPr>
      <w:r>
        <w:rPr>
          <w:rStyle w:val="Lbjegyzet-hivatkozs"/>
        </w:rPr>
        <w:footnoteRef/>
      </w:r>
      <w:r>
        <w:t xml:space="preserve"> BH.2020.79 </w:t>
      </w:r>
    </w:p>
  </w:footnote>
  <w:footnote w:id="25">
    <w:p w:rsidR="00386787" w:rsidRDefault="00386787">
      <w:pPr>
        <w:pStyle w:val="Lbjegyzetszveg"/>
      </w:pPr>
      <w:r>
        <w:rPr>
          <w:rStyle w:val="Lbjegyzet-hivatkozs"/>
        </w:rPr>
        <w:footnoteRef/>
      </w:r>
      <w:r>
        <w:t xml:space="preserve"> BH 2019.301</w:t>
      </w:r>
    </w:p>
  </w:footnote>
  <w:footnote w:id="26">
    <w:p w:rsidR="00C5720A" w:rsidRDefault="00C5720A">
      <w:pPr>
        <w:pStyle w:val="Lbjegyzetszveg"/>
      </w:pPr>
      <w:r>
        <w:rPr>
          <w:rStyle w:val="Lbjegyzet-hivatkozs"/>
        </w:rPr>
        <w:footnoteRef/>
      </w:r>
      <w:r>
        <w:t xml:space="preserve"> 3/2020 PJE, 4/2021 PJE </w:t>
      </w:r>
    </w:p>
  </w:footnote>
  <w:footnote w:id="27">
    <w:p w:rsidR="008C0731" w:rsidRDefault="008C0731">
      <w:pPr>
        <w:pStyle w:val="Lbjegyzetszveg"/>
      </w:pPr>
      <w:r>
        <w:rPr>
          <w:rStyle w:val="Lbjegyzet-hivatkozs"/>
        </w:rPr>
        <w:footnoteRef/>
      </w:r>
      <w:r>
        <w:t xml:space="preserve"> 7/2021 PJE </w:t>
      </w:r>
    </w:p>
  </w:footnote>
  <w:footnote w:id="28">
    <w:p w:rsidR="005E4BF2" w:rsidRDefault="005E4BF2">
      <w:pPr>
        <w:pStyle w:val="Lbjegyzetszveg"/>
      </w:pPr>
      <w:r>
        <w:rPr>
          <w:rStyle w:val="Lbjegyzet-hivatkozs"/>
        </w:rPr>
        <w:footnoteRef/>
      </w:r>
      <w:r>
        <w:t xml:space="preserve"> Ptk. 6:120.§ (1) bekezdés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1C45"/>
    <w:multiLevelType w:val="hybridMultilevel"/>
    <w:tmpl w:val="71FA0976"/>
    <w:lvl w:ilvl="0" w:tplc="0346F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A42F4"/>
    <w:multiLevelType w:val="hybridMultilevel"/>
    <w:tmpl w:val="8A7C2EE2"/>
    <w:lvl w:ilvl="0" w:tplc="23DC346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44A6E"/>
    <w:multiLevelType w:val="hybridMultilevel"/>
    <w:tmpl w:val="5A803982"/>
    <w:lvl w:ilvl="0" w:tplc="C7D280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4D"/>
    <w:rsid w:val="00031806"/>
    <w:rsid w:val="00042BB9"/>
    <w:rsid w:val="00045972"/>
    <w:rsid w:val="0007552B"/>
    <w:rsid w:val="00082B33"/>
    <w:rsid w:val="00097185"/>
    <w:rsid w:val="000C26DC"/>
    <w:rsid w:val="000C3F63"/>
    <w:rsid w:val="000E54BC"/>
    <w:rsid w:val="0012771C"/>
    <w:rsid w:val="001313DA"/>
    <w:rsid w:val="00136401"/>
    <w:rsid w:val="00183B74"/>
    <w:rsid w:val="001854CD"/>
    <w:rsid w:val="001A6485"/>
    <w:rsid w:val="001B5711"/>
    <w:rsid w:val="001B5C01"/>
    <w:rsid w:val="001D336F"/>
    <w:rsid w:val="001D74F6"/>
    <w:rsid w:val="002118EE"/>
    <w:rsid w:val="002608B4"/>
    <w:rsid w:val="00272CF4"/>
    <w:rsid w:val="002856CD"/>
    <w:rsid w:val="0028673D"/>
    <w:rsid w:val="002A4C1D"/>
    <w:rsid w:val="002A5287"/>
    <w:rsid w:val="002B5B4C"/>
    <w:rsid w:val="002B7FC7"/>
    <w:rsid w:val="002C0D0F"/>
    <w:rsid w:val="002D202E"/>
    <w:rsid w:val="002F44A8"/>
    <w:rsid w:val="002F6BC9"/>
    <w:rsid w:val="002F7D0F"/>
    <w:rsid w:val="00300F45"/>
    <w:rsid w:val="00306FBE"/>
    <w:rsid w:val="00307203"/>
    <w:rsid w:val="003311CD"/>
    <w:rsid w:val="003476DF"/>
    <w:rsid w:val="00365656"/>
    <w:rsid w:val="003756EC"/>
    <w:rsid w:val="00386787"/>
    <w:rsid w:val="003A7D0A"/>
    <w:rsid w:val="003B42B8"/>
    <w:rsid w:val="003D7FCE"/>
    <w:rsid w:val="003E3C17"/>
    <w:rsid w:val="003F2B78"/>
    <w:rsid w:val="004152FA"/>
    <w:rsid w:val="004223FD"/>
    <w:rsid w:val="004435A8"/>
    <w:rsid w:val="004450EB"/>
    <w:rsid w:val="0047380B"/>
    <w:rsid w:val="004974BE"/>
    <w:rsid w:val="00511643"/>
    <w:rsid w:val="005117B0"/>
    <w:rsid w:val="00520839"/>
    <w:rsid w:val="0052331F"/>
    <w:rsid w:val="00535D5E"/>
    <w:rsid w:val="00550735"/>
    <w:rsid w:val="00565398"/>
    <w:rsid w:val="00576CB0"/>
    <w:rsid w:val="0059236B"/>
    <w:rsid w:val="005D137A"/>
    <w:rsid w:val="005E4BF2"/>
    <w:rsid w:val="006009C6"/>
    <w:rsid w:val="00605902"/>
    <w:rsid w:val="00643BD8"/>
    <w:rsid w:val="00644A9D"/>
    <w:rsid w:val="00644E74"/>
    <w:rsid w:val="0067064C"/>
    <w:rsid w:val="00675697"/>
    <w:rsid w:val="006A03E7"/>
    <w:rsid w:val="006A36A7"/>
    <w:rsid w:val="006A77FC"/>
    <w:rsid w:val="006B3C64"/>
    <w:rsid w:val="006C36F7"/>
    <w:rsid w:val="006C4443"/>
    <w:rsid w:val="0070556A"/>
    <w:rsid w:val="00706DA3"/>
    <w:rsid w:val="00730527"/>
    <w:rsid w:val="00734426"/>
    <w:rsid w:val="00762F78"/>
    <w:rsid w:val="00780C6C"/>
    <w:rsid w:val="007821E3"/>
    <w:rsid w:val="00787FE2"/>
    <w:rsid w:val="007A6A59"/>
    <w:rsid w:val="007C23AE"/>
    <w:rsid w:val="00800D2E"/>
    <w:rsid w:val="00803E2B"/>
    <w:rsid w:val="00810F3F"/>
    <w:rsid w:val="00816142"/>
    <w:rsid w:val="00870703"/>
    <w:rsid w:val="00875AB2"/>
    <w:rsid w:val="0088361B"/>
    <w:rsid w:val="008951E6"/>
    <w:rsid w:val="008956D2"/>
    <w:rsid w:val="008C0731"/>
    <w:rsid w:val="00960A26"/>
    <w:rsid w:val="009836BA"/>
    <w:rsid w:val="009A5B45"/>
    <w:rsid w:val="009F6FBA"/>
    <w:rsid w:val="00A26E6E"/>
    <w:rsid w:val="00A50DF0"/>
    <w:rsid w:val="00A6360A"/>
    <w:rsid w:val="00A63645"/>
    <w:rsid w:val="00A70283"/>
    <w:rsid w:val="00A96FD3"/>
    <w:rsid w:val="00AB2599"/>
    <w:rsid w:val="00AC5B0F"/>
    <w:rsid w:val="00AD0F77"/>
    <w:rsid w:val="00AD60E1"/>
    <w:rsid w:val="00AF3C9C"/>
    <w:rsid w:val="00B10241"/>
    <w:rsid w:val="00B32C22"/>
    <w:rsid w:val="00B34CCD"/>
    <w:rsid w:val="00B54DA5"/>
    <w:rsid w:val="00BB59EC"/>
    <w:rsid w:val="00BB6B6B"/>
    <w:rsid w:val="00BB7CA9"/>
    <w:rsid w:val="00BE1202"/>
    <w:rsid w:val="00BE63FE"/>
    <w:rsid w:val="00C54709"/>
    <w:rsid w:val="00C5720A"/>
    <w:rsid w:val="00C76A6E"/>
    <w:rsid w:val="00C86190"/>
    <w:rsid w:val="00C90413"/>
    <w:rsid w:val="00C9490D"/>
    <w:rsid w:val="00CB538D"/>
    <w:rsid w:val="00CC0DA0"/>
    <w:rsid w:val="00CC464D"/>
    <w:rsid w:val="00CC4BD3"/>
    <w:rsid w:val="00D076F6"/>
    <w:rsid w:val="00D13C9E"/>
    <w:rsid w:val="00D239AA"/>
    <w:rsid w:val="00D435CC"/>
    <w:rsid w:val="00D45EC5"/>
    <w:rsid w:val="00D55515"/>
    <w:rsid w:val="00D61855"/>
    <w:rsid w:val="00D676F0"/>
    <w:rsid w:val="00DE1F7A"/>
    <w:rsid w:val="00E54F16"/>
    <w:rsid w:val="00E6204F"/>
    <w:rsid w:val="00E72017"/>
    <w:rsid w:val="00E723AC"/>
    <w:rsid w:val="00E75254"/>
    <w:rsid w:val="00E77BD0"/>
    <w:rsid w:val="00E87267"/>
    <w:rsid w:val="00EA5350"/>
    <w:rsid w:val="00EC3838"/>
    <w:rsid w:val="00EF30BE"/>
    <w:rsid w:val="00EF66F7"/>
    <w:rsid w:val="00F11833"/>
    <w:rsid w:val="00F15CA5"/>
    <w:rsid w:val="00F164D7"/>
    <w:rsid w:val="00F4037D"/>
    <w:rsid w:val="00F66B3D"/>
    <w:rsid w:val="00F67E38"/>
    <w:rsid w:val="00F844F3"/>
    <w:rsid w:val="00FA3A52"/>
    <w:rsid w:val="00FD37E3"/>
    <w:rsid w:val="00FD3E20"/>
    <w:rsid w:val="00FD4075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936F0-A316-4632-86CD-4F7F967C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7E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5AB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7569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5697"/>
    <w:pPr>
      <w:spacing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5697"/>
    <w:rPr>
      <w:rFonts w:eastAsiaTheme="minorEastAsi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697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03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0F3F"/>
  </w:style>
  <w:style w:type="paragraph" w:styleId="llb">
    <w:name w:val="footer"/>
    <w:basedOn w:val="Norml"/>
    <w:link w:val="llbChar"/>
    <w:uiPriority w:val="99"/>
    <w:unhideWhenUsed/>
    <w:rsid w:val="0081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0F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C26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C26D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C26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2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DBDDD-282C-4CD0-B2D2-32E3C626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2269</Words>
  <Characters>15657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Iroda</cp:lastModifiedBy>
  <cp:revision>2</cp:revision>
  <cp:lastPrinted>2022-06-30T08:47:00Z</cp:lastPrinted>
  <dcterms:created xsi:type="dcterms:W3CDTF">2024-01-28T13:03:00Z</dcterms:created>
  <dcterms:modified xsi:type="dcterms:W3CDTF">2024-01-28T13:03:00Z</dcterms:modified>
</cp:coreProperties>
</file>